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616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5365"/>
      </w:tblGrid>
      <w:tr w:rsidR="0005299E" w:rsidRPr="0014015A" w:rsidTr="006B65C8">
        <w:trPr>
          <w:gridAfter w:val="1"/>
          <w:wAfter w:w="2500" w:type="pct"/>
          <w:trHeight w:hRule="exact" w:val="42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99E" w:rsidRPr="007573D9" w:rsidRDefault="00E11CAB" w:rsidP="00BE0978">
            <w:pPr>
              <w:ind w:rightChars="-79" w:right="-166"/>
              <w:jc w:val="left"/>
              <w:rPr>
                <w:rFonts w:eastAsia="HG丸ｺﾞｼｯｸM-PRO"/>
                <w:b/>
                <w:color w:val="000000"/>
                <w:sz w:val="24"/>
                <w:szCs w:val="28"/>
              </w:rPr>
            </w:pPr>
            <w:r w:rsidRPr="007573D9">
              <w:rPr>
                <w:rFonts w:eastAsia="HG丸ｺﾞｼｯｸM-PRO"/>
                <w:b/>
                <w:color w:val="000000"/>
                <w:sz w:val="24"/>
                <w:szCs w:val="28"/>
              </w:rPr>
              <w:t>(Sample)</w:t>
            </w:r>
          </w:p>
        </w:tc>
      </w:tr>
      <w:tr w:rsidR="00EB6925" w:rsidRPr="0014015A" w:rsidTr="00834A6E">
        <w:trPr>
          <w:trHeight w:hRule="exact" w:val="716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6925" w:rsidRPr="00EB6925" w:rsidRDefault="00EF76E6" w:rsidP="00EB6925">
            <w:r w:rsidRPr="00EF76E6">
              <w:rPr>
                <w:rFonts w:ascii="ＭＳ ゴシック" w:eastAsia="ＭＳ ゴシック" w:hAnsi="ＭＳ ゴシック" w:hint="eastAsia"/>
                <w:b/>
              </w:rPr>
              <w:t>皮膚扁平上皮癌における</w:t>
            </w:r>
            <w:r w:rsidRPr="00766EC1">
              <w:rPr>
                <w:rFonts w:eastAsia="ＭＳ ゴシック"/>
                <w:b/>
              </w:rPr>
              <w:t>MT1-MMP</w:t>
            </w:r>
            <w:r w:rsidRPr="00EF76E6">
              <w:rPr>
                <w:rFonts w:ascii="ＭＳ ゴシック" w:eastAsia="ＭＳ ゴシック" w:hAnsi="ＭＳ ゴシック" w:hint="eastAsia"/>
                <w:b/>
              </w:rPr>
              <w:t>を介した</w:t>
            </w:r>
            <w:r w:rsidRPr="00623C79">
              <w:rPr>
                <w:rFonts w:eastAsia="ＭＳ ゴシック"/>
                <w:b/>
              </w:rPr>
              <w:t>EphA2</w:t>
            </w:r>
            <w:r w:rsidRPr="00EF76E6">
              <w:rPr>
                <w:rFonts w:ascii="ＭＳ ゴシック" w:eastAsia="ＭＳ ゴシック" w:hAnsi="ＭＳ ゴシック" w:hint="eastAsia"/>
                <w:b/>
              </w:rPr>
              <w:t>プロセシングの検討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6925" w:rsidRPr="004F6674" w:rsidRDefault="00FA6B1C" w:rsidP="00EB6925">
            <w:pPr>
              <w:rPr>
                <w:rFonts w:ascii="Times New Roman" w:hAnsi="Times New Roman"/>
                <w:b/>
              </w:rPr>
            </w:pPr>
            <w:r w:rsidRPr="00FA6B1C">
              <w:rPr>
                <w:b/>
              </w:rPr>
              <w:t>EphA2 processing by MT1-MMP in cutaneous squamous cell carcinoma</w:t>
            </w:r>
          </w:p>
        </w:tc>
      </w:tr>
      <w:tr w:rsidR="00EB6925" w:rsidRPr="0014015A" w:rsidTr="00EF76E6">
        <w:trPr>
          <w:trHeight w:hRule="exact" w:val="69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25" w:rsidRPr="00682C3F" w:rsidRDefault="00EF76E6" w:rsidP="00EB6925">
            <w:pPr>
              <w:rPr>
                <w:rFonts w:ascii="ＭＳ 明朝" w:hAnsi="ＭＳ 明朝"/>
              </w:rPr>
            </w:pPr>
            <w:r w:rsidRPr="00284695">
              <w:rPr>
                <w:rFonts w:ascii="ＭＳ 明朝" w:hAnsi="ＭＳ 明朝" w:hint="eastAsia"/>
                <w:u w:val="single"/>
              </w:rPr>
              <w:t>立川量子</w:t>
            </w:r>
            <w:r w:rsidRPr="00284695">
              <w:rPr>
                <w:rFonts w:ascii="Times New Roman" w:hAnsi="Times New Roman"/>
                <w:vertAlign w:val="superscript"/>
              </w:rPr>
              <w:t>1</w:t>
            </w:r>
            <w:r w:rsidRPr="00284695">
              <w:rPr>
                <w:rFonts w:ascii="ＭＳ 明朝" w:hAnsi="ＭＳ 明朝" w:hint="eastAsia"/>
                <w:vertAlign w:val="superscript"/>
              </w:rPr>
              <w:t>，</w:t>
            </w:r>
            <w:r w:rsidRPr="00284695">
              <w:rPr>
                <w:rFonts w:ascii="Times New Roman" w:hAnsi="Times New Roman"/>
                <w:vertAlign w:val="superscript"/>
              </w:rPr>
              <w:t>2</w:t>
            </w:r>
            <w:r w:rsidRPr="00EF76E6">
              <w:rPr>
                <w:rFonts w:ascii="ＭＳ 明朝" w:hAnsi="ＭＳ 明朝" w:hint="eastAsia"/>
              </w:rPr>
              <w:t>、古賀佳織</w:t>
            </w:r>
            <w:r w:rsidRPr="00CE47CB">
              <w:rPr>
                <w:rFonts w:ascii="Times New Roman" w:hAnsi="Times New Roman"/>
                <w:vertAlign w:val="superscript"/>
              </w:rPr>
              <w:t>1</w:t>
            </w:r>
            <w:r w:rsidRPr="00EF76E6">
              <w:rPr>
                <w:rFonts w:ascii="ＭＳ 明朝" w:hAnsi="ＭＳ 明朝" w:hint="eastAsia"/>
              </w:rPr>
              <w:t>、青木光希子</w:t>
            </w:r>
            <w:r w:rsidRPr="00CE47CB">
              <w:rPr>
                <w:rFonts w:ascii="Times New Roman" w:hAnsi="Times New Roman"/>
                <w:vertAlign w:val="superscript"/>
              </w:rPr>
              <w:t>1</w:t>
            </w:r>
            <w:r w:rsidRPr="00EF76E6">
              <w:rPr>
                <w:rFonts w:ascii="ＭＳ 明朝" w:hAnsi="ＭＳ 明朝" w:hint="eastAsia"/>
              </w:rPr>
              <w:t>、越川直彦</w:t>
            </w:r>
            <w:r w:rsidRPr="00CE47CB">
              <w:rPr>
                <w:rFonts w:ascii="Times New Roman" w:hAnsi="Times New Roman"/>
                <w:vertAlign w:val="superscript"/>
              </w:rPr>
              <w:t>3</w:t>
            </w:r>
            <w:r w:rsidRPr="00EF76E6">
              <w:rPr>
                <w:rFonts w:ascii="ＭＳ 明朝" w:hAnsi="ＭＳ 明朝" w:hint="eastAsia"/>
              </w:rPr>
              <w:t>、今福信一</w:t>
            </w:r>
            <w:r w:rsidRPr="00CE47CB">
              <w:rPr>
                <w:rFonts w:ascii="Times New Roman" w:hAnsi="Times New Roman"/>
                <w:vertAlign w:val="superscript"/>
              </w:rPr>
              <w:t>2</w:t>
            </w:r>
            <w:r w:rsidRPr="00EF76E6">
              <w:rPr>
                <w:rFonts w:ascii="ＭＳ 明朝" w:hAnsi="ＭＳ 明朝" w:hint="eastAsia"/>
              </w:rPr>
              <w:t>、鍋島一樹</w:t>
            </w:r>
            <w:r w:rsidRPr="00CE47CB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B1C" w:rsidRPr="00F94EDD" w:rsidRDefault="00FA6B1C" w:rsidP="00FA6B1C">
            <w:pPr>
              <w:rPr>
                <w:rFonts w:ascii="Times New Roman" w:hAnsi="Times New Roman"/>
                <w:vertAlign w:val="superscript"/>
              </w:rPr>
            </w:pPr>
            <w:r w:rsidRPr="00284695">
              <w:rPr>
                <w:rFonts w:ascii="Times New Roman" w:hAnsi="Times New Roman"/>
                <w:u w:val="single"/>
              </w:rPr>
              <w:t>R. Tatsukawa</w:t>
            </w:r>
            <w:r w:rsidRPr="00284695">
              <w:rPr>
                <w:rFonts w:ascii="Times New Roman" w:hAnsi="Times New Roman"/>
                <w:vertAlign w:val="superscript"/>
              </w:rPr>
              <w:t>1</w:t>
            </w:r>
            <w:r w:rsidRPr="00284695">
              <w:rPr>
                <w:rFonts w:ascii="Times New Roman" w:hAnsi="Times New Roman"/>
                <w:vertAlign w:val="superscript"/>
              </w:rPr>
              <w:t>，</w:t>
            </w:r>
            <w:r w:rsidRPr="00284695">
              <w:rPr>
                <w:rFonts w:ascii="Times New Roman" w:hAnsi="Times New Roman"/>
                <w:vertAlign w:val="superscript"/>
              </w:rPr>
              <w:t>2</w:t>
            </w:r>
            <w:r w:rsidRPr="00F94EDD">
              <w:rPr>
                <w:rFonts w:ascii="Times New Roman" w:hAnsi="Times New Roman"/>
              </w:rPr>
              <w:t>, K. Koga</w:t>
            </w:r>
            <w:r w:rsidRPr="00F94EDD">
              <w:rPr>
                <w:rFonts w:ascii="Times New Roman" w:hAnsi="Times New Roman"/>
                <w:vertAlign w:val="superscript"/>
              </w:rPr>
              <w:t>1</w:t>
            </w:r>
            <w:r w:rsidRPr="00F94EDD">
              <w:rPr>
                <w:rFonts w:ascii="Times New Roman" w:hAnsi="Times New Roman"/>
              </w:rPr>
              <w:t>, M. Aoki</w:t>
            </w:r>
            <w:r w:rsidRPr="00F94EDD">
              <w:rPr>
                <w:rFonts w:ascii="Times New Roman" w:hAnsi="Times New Roman"/>
                <w:vertAlign w:val="superscript"/>
              </w:rPr>
              <w:t>1</w:t>
            </w:r>
            <w:r w:rsidRPr="00F94EDD">
              <w:rPr>
                <w:rFonts w:ascii="Times New Roman" w:hAnsi="Times New Roman"/>
              </w:rPr>
              <w:t>, N. Koshikawa</w:t>
            </w:r>
            <w:r w:rsidRPr="00F94EDD">
              <w:rPr>
                <w:rFonts w:ascii="Times New Roman" w:hAnsi="Times New Roman"/>
                <w:vertAlign w:val="superscript"/>
              </w:rPr>
              <w:t>3</w:t>
            </w:r>
            <w:r w:rsidRPr="00F94EDD">
              <w:rPr>
                <w:rFonts w:ascii="Times New Roman" w:hAnsi="Times New Roman"/>
              </w:rPr>
              <w:t>, S. Imafuku</w:t>
            </w:r>
            <w:r w:rsidRPr="00F94EDD">
              <w:rPr>
                <w:rFonts w:ascii="Times New Roman" w:hAnsi="Times New Roman"/>
                <w:vertAlign w:val="superscript"/>
              </w:rPr>
              <w:t>2</w:t>
            </w:r>
            <w:r w:rsidRPr="00F94EDD">
              <w:rPr>
                <w:rFonts w:ascii="Times New Roman" w:hAnsi="Times New Roman"/>
              </w:rPr>
              <w:t>, K. Nabeshima</w:t>
            </w:r>
            <w:r w:rsidRPr="00F94EDD">
              <w:rPr>
                <w:rFonts w:ascii="Times New Roman" w:hAnsi="Times New Roman"/>
                <w:vertAlign w:val="superscript"/>
              </w:rPr>
              <w:t>1</w:t>
            </w:r>
          </w:p>
          <w:p w:rsidR="00EB6925" w:rsidRPr="00FA6B1C" w:rsidRDefault="00EB6925" w:rsidP="00EB6925">
            <w:pPr>
              <w:rPr>
                <w:rFonts w:ascii="Times New Roman" w:hAnsi="Times New Roman"/>
                <w:vertAlign w:val="superscript"/>
              </w:rPr>
            </w:pPr>
          </w:p>
          <w:p w:rsidR="00EB6925" w:rsidRPr="00517E28" w:rsidRDefault="00EB6925" w:rsidP="00EB6925">
            <w:pPr>
              <w:rPr>
                <w:rFonts w:ascii="Times New Roman" w:hAnsi="Times New Roman"/>
              </w:rPr>
            </w:pPr>
          </w:p>
        </w:tc>
      </w:tr>
      <w:tr w:rsidR="00EB6925" w:rsidRPr="0014015A" w:rsidTr="00834A6E">
        <w:trPr>
          <w:trHeight w:hRule="exact" w:val="112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25" w:rsidRPr="00682C3F" w:rsidRDefault="00EF76E6" w:rsidP="00EB6925">
            <w:pPr>
              <w:rPr>
                <w:rFonts w:ascii="ＭＳ 明朝" w:hAnsi="ＭＳ 明朝"/>
              </w:rPr>
            </w:pPr>
            <w:r w:rsidRPr="00CE47CB">
              <w:rPr>
                <w:rFonts w:ascii="Times New Roman" w:hAnsi="Times New Roman"/>
                <w:vertAlign w:val="superscript"/>
              </w:rPr>
              <w:t>1</w:t>
            </w:r>
            <w:r w:rsidRPr="00EF76E6">
              <w:rPr>
                <w:rFonts w:ascii="ＭＳ 明朝" w:hAnsi="ＭＳ 明朝" w:hint="eastAsia"/>
              </w:rPr>
              <w:t>福岡大学医学部病理学講座、</w:t>
            </w:r>
            <w:r w:rsidRPr="00CE47CB">
              <w:rPr>
                <w:rFonts w:ascii="Times New Roman" w:hAnsi="Times New Roman"/>
                <w:vertAlign w:val="superscript"/>
              </w:rPr>
              <w:t>2</w:t>
            </w:r>
            <w:r w:rsidRPr="00EF76E6">
              <w:rPr>
                <w:rFonts w:ascii="ＭＳ 明朝" w:hAnsi="ＭＳ 明朝" w:hint="eastAsia"/>
              </w:rPr>
              <w:t>福岡大学医学部皮膚科、</w:t>
            </w:r>
            <w:r w:rsidRPr="00CE47CB">
              <w:rPr>
                <w:rFonts w:ascii="Times New Roman" w:hAnsi="Times New Roman"/>
                <w:vertAlign w:val="superscript"/>
              </w:rPr>
              <w:t>3</w:t>
            </w:r>
            <w:r w:rsidRPr="00EF76E6">
              <w:rPr>
                <w:rFonts w:ascii="ＭＳ 明朝" w:hAnsi="ＭＳ 明朝" w:hint="eastAsia"/>
              </w:rPr>
              <w:t>神奈川県立がんセンター臨床研究所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25" w:rsidRPr="00834A6E" w:rsidRDefault="00FA6B1C" w:rsidP="00EB6925">
            <w:pPr>
              <w:pStyle w:val="a4"/>
              <w:ind w:leftChars="0" w:left="0"/>
              <w:rPr>
                <w:rFonts w:ascii="Times New Roman" w:hAnsi="Times New Roman"/>
                <w:sz w:val="20"/>
                <w:szCs w:val="20"/>
              </w:rPr>
            </w:pPr>
            <w:r w:rsidRPr="00834A6E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834A6E">
              <w:rPr>
                <w:rFonts w:ascii="Times New Roman" w:hAnsi="Times New Roman"/>
                <w:sz w:val="18"/>
                <w:szCs w:val="18"/>
              </w:rPr>
              <w:t xml:space="preserve">Department of Pathology, Fukuoka University Hospital and School of Medicine; </w:t>
            </w:r>
            <w:r w:rsidRPr="00834A6E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834A6E">
              <w:rPr>
                <w:rFonts w:ascii="Times New Roman" w:hAnsi="Times New Roman"/>
                <w:sz w:val="18"/>
                <w:szCs w:val="18"/>
              </w:rPr>
              <w:t xml:space="preserve">Department of Dermatology, Fukuoka University Hospital; </w:t>
            </w:r>
            <w:r w:rsidRPr="00834A6E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834A6E">
              <w:rPr>
                <w:rFonts w:ascii="Times New Roman" w:hAnsi="Times New Roman"/>
                <w:sz w:val="18"/>
                <w:szCs w:val="18"/>
              </w:rPr>
              <w:t>Kanagawa Cancer Center, Research Institute</w:t>
            </w:r>
          </w:p>
        </w:tc>
      </w:tr>
      <w:tr w:rsidR="00EB6925" w:rsidRPr="0014015A" w:rsidTr="00834A6E">
        <w:trPr>
          <w:trHeight w:val="11617"/>
        </w:trPr>
        <w:tc>
          <w:tcPr>
            <w:tcW w:w="25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EB6925" w:rsidRPr="00EF76E6" w:rsidRDefault="00EF76E6" w:rsidP="00EF76E6">
            <w:pPr>
              <w:rPr>
                <w:rFonts w:ascii="ＭＳ 明朝" w:hAnsi="ＭＳ 明朝"/>
              </w:rPr>
            </w:pPr>
            <w:r w:rsidRPr="00EF76E6">
              <w:rPr>
                <w:rFonts w:ascii="ＭＳ 明朝" w:hAnsi="ＭＳ 明朝" w:hint="eastAsia"/>
              </w:rPr>
              <w:t>【目的】皮膚扁平上皮癌は、</w:t>
            </w:r>
            <w:r w:rsidRPr="00F17E9C">
              <w:rPr>
                <w:rFonts w:hint="eastAsia"/>
              </w:rPr>
              <w:t>主に非浸潤性の表皮内癌が真皮へ</w:t>
            </w:r>
            <w:r>
              <w:rPr>
                <w:rFonts w:hint="eastAsia"/>
              </w:rPr>
              <w:t>の浸潤性を獲得した結果生じるが、その</w:t>
            </w:r>
            <w:r w:rsidRPr="00F17E9C">
              <w:rPr>
                <w:rFonts w:hint="eastAsia"/>
              </w:rPr>
              <w:t>機構は完全には明らかになっていない。</w:t>
            </w:r>
            <w:r w:rsidRPr="007E3CB4">
              <w:rPr>
                <w:rFonts w:ascii="Times New Roman" w:hAnsi="Times New Roman"/>
              </w:rPr>
              <w:t>EphA2</w:t>
            </w:r>
            <w:r w:rsidRPr="00EF76E6">
              <w:rPr>
                <w:rFonts w:ascii="ＭＳ 明朝" w:hAnsi="ＭＳ 明朝" w:hint="eastAsia"/>
              </w:rPr>
              <w:t>は膜貫通型の受容体型チロシンキナーゼの1種で、</w:t>
            </w:r>
            <w:r w:rsidRPr="007E3CB4">
              <w:rPr>
                <w:rFonts w:ascii="Times New Roman" w:hAnsi="Times New Roman"/>
              </w:rPr>
              <w:t>Ephrin</w:t>
            </w:r>
            <w:r w:rsidRPr="00EF76E6">
              <w:rPr>
                <w:rFonts w:ascii="ＭＳ 明朝" w:hAnsi="ＭＳ 明朝" w:hint="eastAsia"/>
              </w:rPr>
              <w:t>と結合してシグナル伝達を行う。正常上皮細胞では、</w:t>
            </w:r>
            <w:r w:rsidRPr="007E3CB4">
              <w:rPr>
                <w:rFonts w:ascii="Times New Roman" w:hAnsi="Times New Roman"/>
              </w:rPr>
              <w:t>EphA2/EphrinA1</w:t>
            </w:r>
            <w:r w:rsidRPr="00EF76E6">
              <w:rPr>
                <w:rFonts w:ascii="ＭＳ 明朝" w:hAnsi="ＭＳ 明朝" w:hint="eastAsia"/>
              </w:rPr>
              <w:t>は</w:t>
            </w:r>
            <w:r w:rsidR="004874AE">
              <w:rPr>
                <w:rFonts w:ascii="Times New Roman" w:hAnsi="Times New Roman"/>
              </w:rPr>
              <w:t>RAS</w:t>
            </w:r>
            <w:r w:rsidRPr="00EF76E6">
              <w:rPr>
                <w:rFonts w:ascii="ＭＳ 明朝" w:hAnsi="ＭＳ 明朝" w:hint="eastAsia"/>
              </w:rPr>
              <w:t>を介して</w:t>
            </w:r>
            <w:r w:rsidRPr="007E3CB4">
              <w:rPr>
                <w:rFonts w:ascii="Times New Roman" w:hAnsi="Times New Roman"/>
              </w:rPr>
              <w:t>EGF-EGFR</w:t>
            </w:r>
            <w:r w:rsidRPr="00EF76E6">
              <w:rPr>
                <w:rFonts w:ascii="ＭＳ 明朝" w:hAnsi="ＭＳ 明朝" w:hint="eastAsia"/>
              </w:rPr>
              <w:t>細胞増殖経路を抑制する。一方がん細胞では、</w:t>
            </w:r>
            <w:r>
              <w:rPr>
                <w:rFonts w:ascii="ＭＳ 明朝" w:hAnsi="ＭＳ 明朝" w:hint="eastAsia"/>
              </w:rPr>
              <w:t>膜型マトリックスプロテアーゼ(</w:t>
            </w:r>
            <w:r w:rsidRPr="007E3CB4">
              <w:rPr>
                <w:rFonts w:ascii="Times New Roman" w:hAnsi="Times New Roman"/>
              </w:rPr>
              <w:t>MT1-MMP</w:t>
            </w:r>
            <w:r>
              <w:rPr>
                <w:rFonts w:ascii="ＭＳ 明朝" w:hAnsi="ＭＳ 明朝" w:hint="eastAsia"/>
              </w:rPr>
              <w:t>)</w:t>
            </w:r>
            <w:r w:rsidRPr="00EF76E6">
              <w:rPr>
                <w:rFonts w:ascii="ＭＳ 明朝" w:hAnsi="ＭＳ 明朝" w:hint="eastAsia"/>
              </w:rPr>
              <w:t>が細胞膜上の</w:t>
            </w:r>
            <w:r w:rsidRPr="007E3CB4">
              <w:rPr>
                <w:rFonts w:ascii="Times New Roman" w:hAnsi="Times New Roman"/>
              </w:rPr>
              <w:t>EphA2</w:t>
            </w:r>
            <w:r w:rsidRPr="00EF76E6">
              <w:rPr>
                <w:rFonts w:ascii="ＭＳ 明朝" w:hAnsi="ＭＳ 明朝" w:hint="eastAsia"/>
              </w:rPr>
              <w:t>の</w:t>
            </w:r>
            <w:r w:rsidRPr="007E3CB4">
              <w:rPr>
                <w:rFonts w:ascii="Times New Roman" w:hAnsi="Times New Roman"/>
              </w:rPr>
              <w:t>N</w:t>
            </w:r>
            <w:r w:rsidRPr="00EF76E6">
              <w:rPr>
                <w:rFonts w:ascii="ＭＳ 明朝" w:hAnsi="ＭＳ 明朝" w:hint="eastAsia"/>
              </w:rPr>
              <w:t>末端を切断してリガンドを介する抑制より解放され、</w:t>
            </w:r>
            <w:r w:rsidR="004874AE">
              <w:rPr>
                <w:rFonts w:ascii="Times New Roman" w:hAnsi="Times New Roman"/>
              </w:rPr>
              <w:t>RAS</w:t>
            </w:r>
            <w:r w:rsidRPr="00EF76E6">
              <w:rPr>
                <w:rFonts w:ascii="ＭＳ 明朝" w:hAnsi="ＭＳ 明朝" w:hint="eastAsia"/>
              </w:rPr>
              <w:t>経路等の下流シグナルが活性化され、がん細胞の浸潤性を促進すると考えられている。我々は昨年の本学会において皮膚扁平上皮癌(浸潤癌・非浸潤癌)における</w:t>
            </w:r>
            <w:r w:rsidRPr="004874AE">
              <w:rPr>
                <w:rFonts w:ascii="Times New Roman" w:hAnsi="Times New Roman"/>
              </w:rPr>
              <w:t>EphA2</w:t>
            </w:r>
            <w:r w:rsidRPr="00EF76E6">
              <w:rPr>
                <w:rFonts w:ascii="ＭＳ 明朝" w:hAnsi="ＭＳ 明朝" w:hint="eastAsia"/>
              </w:rPr>
              <w:t>プロセシングの可能性を免疫組織化学的に検討し報告した。</w:t>
            </w:r>
            <w:r w:rsidRPr="00682C3F">
              <w:rPr>
                <w:rFonts w:ascii="ＭＳ 明朝" w:hAnsi="ＭＳ 明朝" w:hint="eastAsia"/>
              </w:rPr>
              <w:t>本研究では</w:t>
            </w:r>
            <w:r>
              <w:rPr>
                <w:rFonts w:ascii="ＭＳ 明朝" w:hAnsi="ＭＳ 明朝" w:hint="eastAsia"/>
              </w:rPr>
              <w:t>さらに</w:t>
            </w:r>
            <w:r w:rsidRPr="007E3CB4">
              <w:rPr>
                <w:rFonts w:ascii="Times New Roman" w:hAnsi="Times New Roman"/>
              </w:rPr>
              <w:t>EphA2</w:t>
            </w:r>
            <w:r w:rsidRPr="00682C3F">
              <w:rPr>
                <w:rFonts w:ascii="ＭＳ 明朝" w:hAnsi="ＭＳ 明朝" w:hint="eastAsia"/>
              </w:rPr>
              <w:t>プロセシング</w:t>
            </w:r>
            <w:r>
              <w:rPr>
                <w:rFonts w:ascii="ＭＳ 明朝" w:hAnsi="ＭＳ 明朝" w:hint="eastAsia"/>
              </w:rPr>
              <w:t>と</w:t>
            </w:r>
            <w:r w:rsidRPr="007E3CB4">
              <w:rPr>
                <w:rFonts w:ascii="Times New Roman" w:hAnsi="Times New Roman"/>
              </w:rPr>
              <w:t>MT1-MMP</w:t>
            </w:r>
            <w:r>
              <w:rPr>
                <w:rFonts w:ascii="ＭＳ 明朝" w:hAnsi="ＭＳ 明朝" w:hint="eastAsia"/>
              </w:rPr>
              <w:t>の関連について</w:t>
            </w:r>
            <w:r w:rsidRPr="007E3CB4">
              <w:rPr>
                <w:rFonts w:ascii="Times New Roman" w:hAnsi="Times New Roman"/>
              </w:rPr>
              <w:t>in situ PLA(Proximity Ligation Assay)</w:t>
            </w:r>
            <w:r w:rsidR="00824E03">
              <w:rPr>
                <w:rFonts w:ascii="ＭＳ 明朝" w:hAnsi="ＭＳ 明朝" w:hint="eastAsia"/>
              </w:rPr>
              <w:t>法</w:t>
            </w:r>
            <w:r>
              <w:rPr>
                <w:rFonts w:ascii="ＭＳ 明朝" w:hAnsi="ＭＳ 明朝" w:hint="eastAsia"/>
              </w:rPr>
              <w:t>を用いて検討した</w:t>
            </w:r>
            <w:r w:rsidRPr="00682C3F">
              <w:rPr>
                <w:rFonts w:ascii="ＭＳ 明朝" w:hAnsi="ＭＳ 明朝" w:hint="eastAsia"/>
              </w:rPr>
              <w:t>。</w:t>
            </w:r>
            <w:r w:rsidRPr="00EF76E6">
              <w:rPr>
                <w:rFonts w:ascii="ＭＳ 明朝" w:hAnsi="ＭＳ 明朝" w:hint="eastAsia"/>
              </w:rPr>
              <w:t>【方法】ホルマリン固定パラフィン包埋切片を用いて、浸潤癌と非浸潤癌における</w:t>
            </w:r>
            <w:r w:rsidRPr="007E3CB4">
              <w:rPr>
                <w:rFonts w:ascii="Times New Roman" w:hAnsi="Times New Roman"/>
              </w:rPr>
              <w:t>MT1-MMP</w:t>
            </w:r>
            <w:r w:rsidRPr="00EF76E6">
              <w:rPr>
                <w:rFonts w:ascii="ＭＳ 明朝" w:hAnsi="ＭＳ 明朝" w:hint="eastAsia"/>
              </w:rPr>
              <w:t>と</w:t>
            </w:r>
            <w:r w:rsidRPr="007E3CB4">
              <w:rPr>
                <w:rFonts w:ascii="Times New Roman" w:hAnsi="Times New Roman"/>
              </w:rPr>
              <w:t>EphA2(C</w:t>
            </w:r>
            <w:r w:rsidRPr="00EF76E6">
              <w:rPr>
                <w:rFonts w:ascii="ＭＳ 明朝" w:hAnsi="ＭＳ 明朝" w:hint="eastAsia"/>
              </w:rPr>
              <w:t>末側、</w:t>
            </w:r>
            <w:r w:rsidRPr="007E3CB4">
              <w:rPr>
                <w:rFonts w:ascii="Times New Roman" w:hAnsi="Times New Roman"/>
              </w:rPr>
              <w:t>N</w:t>
            </w:r>
            <w:r w:rsidRPr="00EF76E6">
              <w:rPr>
                <w:rFonts w:ascii="ＭＳ 明朝" w:hAnsi="ＭＳ 明朝" w:hint="eastAsia"/>
              </w:rPr>
              <w:t>末側</w:t>
            </w:r>
            <w:r w:rsidRPr="007E3CB4">
              <w:rPr>
                <w:rFonts w:ascii="Times New Roman" w:hAnsi="Times New Roman"/>
              </w:rPr>
              <w:t>)</w:t>
            </w:r>
            <w:r w:rsidRPr="00EF76E6">
              <w:rPr>
                <w:rFonts w:ascii="ＭＳ 明朝" w:hAnsi="ＭＳ 明朝" w:hint="eastAsia"/>
              </w:rPr>
              <w:t>の発現強度やパターンについて免疫組織化学的に検討した。また、</w:t>
            </w:r>
            <w:r w:rsidRPr="007E3CB4">
              <w:rPr>
                <w:rFonts w:ascii="Times New Roman" w:hAnsi="Times New Roman"/>
              </w:rPr>
              <w:t>MT1-MMP</w:t>
            </w:r>
            <w:r w:rsidRPr="00EF76E6">
              <w:rPr>
                <w:rFonts w:ascii="ＭＳ 明朝" w:hAnsi="ＭＳ 明朝" w:hint="eastAsia"/>
              </w:rPr>
              <w:t>発現陽性及びノックダウン</w:t>
            </w:r>
            <w:r w:rsidRPr="007E3CB4">
              <w:rPr>
                <w:rFonts w:ascii="Times New Roman" w:hAnsi="Times New Roman"/>
              </w:rPr>
              <w:t>HT-1080</w:t>
            </w:r>
            <w:r w:rsidRPr="00EF76E6">
              <w:rPr>
                <w:rFonts w:ascii="ＭＳ 明朝" w:hAnsi="ＭＳ 明朝" w:hint="eastAsia"/>
              </w:rPr>
              <w:t>細胞を用いて、</w:t>
            </w:r>
            <w:r w:rsidRPr="007E3CB4">
              <w:rPr>
                <w:rFonts w:ascii="Times New Roman" w:hAnsi="Times New Roman"/>
              </w:rPr>
              <w:t>MT1-MMP</w:t>
            </w:r>
            <w:r w:rsidRPr="00EF76E6">
              <w:rPr>
                <w:rFonts w:ascii="ＭＳ 明朝" w:hAnsi="ＭＳ 明朝" w:hint="eastAsia"/>
              </w:rPr>
              <w:t>による</w:t>
            </w:r>
            <w:r w:rsidRPr="007E3CB4">
              <w:rPr>
                <w:rFonts w:ascii="Times New Roman" w:hAnsi="Times New Roman"/>
              </w:rPr>
              <w:t>EphA2</w:t>
            </w:r>
            <w:r w:rsidRPr="00EF76E6">
              <w:rPr>
                <w:rFonts w:ascii="ＭＳ 明朝" w:hAnsi="ＭＳ 明朝" w:hint="eastAsia"/>
              </w:rPr>
              <w:t>プロセシングを</w:t>
            </w:r>
            <w:r w:rsidRPr="007E3CB4">
              <w:rPr>
                <w:rFonts w:ascii="Times New Roman" w:hAnsi="Times New Roman"/>
              </w:rPr>
              <w:t>Western blot</w:t>
            </w:r>
            <w:r w:rsidRPr="00EF76E6">
              <w:rPr>
                <w:rFonts w:ascii="ＭＳ 明朝" w:hAnsi="ＭＳ 明朝" w:hint="eastAsia"/>
              </w:rPr>
              <w:t>法、</w:t>
            </w:r>
            <w:r w:rsidRPr="007E3CB4">
              <w:rPr>
                <w:rFonts w:ascii="Times New Roman" w:hAnsi="Times New Roman"/>
              </w:rPr>
              <w:t>in situ PLA</w:t>
            </w:r>
            <w:r>
              <w:rPr>
                <w:rFonts w:ascii="ＭＳ 明朝" w:hAnsi="ＭＳ 明朝" w:hint="eastAsia"/>
              </w:rPr>
              <w:t>法で検討した。</w:t>
            </w:r>
            <w:r w:rsidRPr="00EF76E6">
              <w:rPr>
                <w:rFonts w:ascii="ＭＳ 明朝" w:hAnsi="ＭＳ 明朝" w:hint="eastAsia"/>
              </w:rPr>
              <w:t>【結果】非浸潤癌では</w:t>
            </w:r>
            <w:r w:rsidRPr="007E3CB4">
              <w:rPr>
                <w:rFonts w:ascii="Times New Roman" w:hAnsi="Times New Roman"/>
              </w:rPr>
              <w:t>EphA2-C</w:t>
            </w:r>
            <w:r w:rsidRPr="00EF76E6">
              <w:rPr>
                <w:rFonts w:ascii="ＭＳ 明朝" w:hAnsi="ＭＳ 明朝" w:hint="eastAsia"/>
              </w:rPr>
              <w:t>末、</w:t>
            </w:r>
            <w:r w:rsidRPr="007E3CB4">
              <w:rPr>
                <w:rFonts w:ascii="Times New Roman" w:hAnsi="Times New Roman"/>
              </w:rPr>
              <w:t>N</w:t>
            </w:r>
            <w:r w:rsidRPr="00EF76E6">
              <w:rPr>
                <w:rFonts w:ascii="ＭＳ 明朝" w:hAnsi="ＭＳ 明朝" w:hint="eastAsia"/>
              </w:rPr>
              <w:t>末ともに同程度の発現であったが、浸潤癌ではほとんどの症例で</w:t>
            </w:r>
            <w:r w:rsidRPr="007E3CB4">
              <w:rPr>
                <w:rFonts w:ascii="Times New Roman" w:hAnsi="Times New Roman"/>
              </w:rPr>
              <w:t>EphA2-N</w:t>
            </w:r>
            <w:r w:rsidRPr="00EF76E6">
              <w:rPr>
                <w:rFonts w:ascii="ＭＳ 明朝" w:hAnsi="ＭＳ 明朝" w:hint="eastAsia"/>
              </w:rPr>
              <w:t>末は発現低下していた。</w:t>
            </w:r>
            <w:r w:rsidRPr="007E3CB4">
              <w:rPr>
                <w:rFonts w:ascii="Times New Roman" w:hAnsi="Times New Roman"/>
              </w:rPr>
              <w:t>In vitro</w:t>
            </w:r>
            <w:r w:rsidRPr="00EF76E6">
              <w:rPr>
                <w:rFonts w:ascii="ＭＳ 明朝" w:hAnsi="ＭＳ 明朝" w:hint="eastAsia"/>
              </w:rPr>
              <w:t>で、</w:t>
            </w:r>
            <w:r w:rsidRPr="007E3CB4">
              <w:rPr>
                <w:rFonts w:ascii="Times New Roman" w:hAnsi="Times New Roman"/>
              </w:rPr>
              <w:t>MT1-MMP</w:t>
            </w:r>
            <w:r w:rsidRPr="00EF76E6">
              <w:rPr>
                <w:rFonts w:ascii="ＭＳ 明朝" w:hAnsi="ＭＳ 明朝" w:hint="eastAsia"/>
              </w:rPr>
              <w:t>発現</w:t>
            </w:r>
            <w:r w:rsidRPr="007E3CB4">
              <w:rPr>
                <w:rFonts w:ascii="Times New Roman" w:hAnsi="Times New Roman"/>
              </w:rPr>
              <w:t>HT-1080</w:t>
            </w:r>
            <w:r w:rsidRPr="00EF76E6">
              <w:rPr>
                <w:rFonts w:ascii="ＭＳ 明朝" w:hAnsi="ＭＳ 明朝" w:hint="eastAsia"/>
              </w:rPr>
              <w:t>細胞では</w:t>
            </w:r>
            <w:r w:rsidR="00CE723F">
              <w:rPr>
                <w:rFonts w:ascii="ＭＳ 明朝" w:hAnsi="ＭＳ 明朝" w:hint="eastAsia"/>
              </w:rPr>
              <w:t>、</w:t>
            </w:r>
            <w:r w:rsidRPr="007E3CB4">
              <w:rPr>
                <w:rFonts w:ascii="Times New Roman" w:hAnsi="Times New Roman"/>
              </w:rPr>
              <w:t>in situ PLA</w:t>
            </w:r>
            <w:r>
              <w:rPr>
                <w:rFonts w:ascii="ＭＳ 明朝" w:hAnsi="ＭＳ 明朝" w:hint="eastAsia"/>
              </w:rPr>
              <w:t>法</w:t>
            </w:r>
            <w:r w:rsidR="00CE723F">
              <w:rPr>
                <w:rFonts w:ascii="ＭＳ 明朝" w:hAnsi="ＭＳ 明朝" w:hint="eastAsia"/>
              </w:rPr>
              <w:t>にて</w:t>
            </w:r>
            <w:r w:rsidRPr="007E3CB4">
              <w:rPr>
                <w:rFonts w:ascii="Times New Roman" w:hAnsi="Times New Roman"/>
              </w:rPr>
              <w:t>MT1-MMP</w:t>
            </w:r>
            <w:r>
              <w:rPr>
                <w:rFonts w:ascii="ＭＳ 明朝" w:hAnsi="ＭＳ 明朝" w:hint="eastAsia"/>
              </w:rPr>
              <w:t>と</w:t>
            </w:r>
            <w:r w:rsidRPr="007E3CB4">
              <w:rPr>
                <w:rFonts w:ascii="Times New Roman" w:hAnsi="Times New Roman"/>
              </w:rPr>
              <w:t>EphA2</w:t>
            </w:r>
            <w:r>
              <w:rPr>
                <w:rFonts w:ascii="ＭＳ 明朝" w:hAnsi="ＭＳ 明朝" w:hint="eastAsia"/>
              </w:rPr>
              <w:t>の近接が認められ、</w:t>
            </w:r>
            <w:r w:rsidRPr="007E3CB4">
              <w:rPr>
                <w:rFonts w:ascii="Times New Roman" w:hAnsi="Times New Roman"/>
              </w:rPr>
              <w:t>Western blot</w:t>
            </w:r>
            <w:r w:rsidRPr="00EF76E6">
              <w:rPr>
                <w:rFonts w:ascii="ＭＳ 明朝" w:hAnsi="ＭＳ 明朝" w:hint="eastAsia"/>
              </w:rPr>
              <w:t>法</w:t>
            </w:r>
            <w:r w:rsidR="00CE723F">
              <w:rPr>
                <w:rFonts w:ascii="ＭＳ 明朝" w:hAnsi="ＭＳ 明朝" w:hint="eastAsia"/>
              </w:rPr>
              <w:t>にて</w:t>
            </w:r>
            <w:r w:rsidRPr="007E3CB4">
              <w:rPr>
                <w:rFonts w:ascii="Times New Roman" w:hAnsi="Times New Roman"/>
              </w:rPr>
              <w:t>EphA2</w:t>
            </w:r>
            <w:r w:rsidRPr="00EF76E6">
              <w:rPr>
                <w:rFonts w:ascii="ＭＳ 明朝" w:hAnsi="ＭＳ 明朝" w:hint="eastAsia"/>
              </w:rPr>
              <w:t>プロセシング断片が生じていた。一方</w:t>
            </w:r>
            <w:r w:rsidRPr="007E3CB4">
              <w:rPr>
                <w:rFonts w:ascii="Times New Roman" w:hAnsi="Times New Roman"/>
              </w:rPr>
              <w:t>MT1-MMP</w:t>
            </w:r>
            <w:r w:rsidRPr="00EF76E6">
              <w:rPr>
                <w:rFonts w:ascii="ＭＳ 明朝" w:hAnsi="ＭＳ 明朝" w:hint="eastAsia"/>
              </w:rPr>
              <w:t>ノックダウン</w:t>
            </w:r>
            <w:r w:rsidRPr="007E3CB4">
              <w:rPr>
                <w:rFonts w:ascii="Times New Roman" w:hAnsi="Times New Roman"/>
              </w:rPr>
              <w:t>HT-1080</w:t>
            </w:r>
            <w:r w:rsidRPr="00EF76E6">
              <w:rPr>
                <w:rFonts w:ascii="ＭＳ 明朝" w:hAnsi="ＭＳ 明朝" w:hint="eastAsia"/>
              </w:rPr>
              <w:t>細胞では両者の近接がみられず、プロセシング断片も減少していた。【考察】皮膚扁平上皮癌において、浸潤癌では</w:t>
            </w:r>
            <w:r w:rsidRPr="007E3CB4">
              <w:rPr>
                <w:rFonts w:ascii="Times New Roman" w:hAnsi="Times New Roman"/>
              </w:rPr>
              <w:t>MT1-MMP</w:t>
            </w:r>
            <w:r w:rsidRPr="00EF76E6">
              <w:rPr>
                <w:rFonts w:ascii="ＭＳ 明朝" w:hAnsi="ＭＳ 明朝" w:hint="eastAsia"/>
              </w:rPr>
              <w:t>による</w:t>
            </w:r>
            <w:r w:rsidRPr="007E3CB4">
              <w:rPr>
                <w:rFonts w:ascii="Times New Roman" w:hAnsi="Times New Roman"/>
              </w:rPr>
              <w:t>EphA2</w:t>
            </w:r>
            <w:r w:rsidRPr="00EF76E6">
              <w:rPr>
                <w:rFonts w:ascii="ＭＳ 明朝" w:hAnsi="ＭＳ 明朝" w:hint="eastAsia"/>
              </w:rPr>
              <w:t>のプロセシングが生じ、浸潤が生じている可能性がある。</w:t>
            </w: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EB6925" w:rsidRPr="00FA6B1C" w:rsidRDefault="00FA6B1C" w:rsidP="0013751A">
            <w:pPr>
              <w:rPr>
                <w:rFonts w:ascii="Times New Roman" w:hAnsi="Times New Roman"/>
                <w:szCs w:val="21"/>
              </w:rPr>
            </w:pPr>
            <w:r w:rsidRPr="00FA6B1C">
              <w:rPr>
                <w:rFonts w:ascii="Times New Roman" w:hAnsi="Times New Roman" w:hint="eastAsia"/>
                <w:szCs w:val="21"/>
              </w:rPr>
              <w:t xml:space="preserve">[Objective] 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>I</w:t>
            </w:r>
            <w:r w:rsidR="004874AE" w:rsidRPr="00FA6B1C">
              <w:rPr>
                <w:rFonts w:ascii="Times New Roman" w:hAnsi="Times New Roman"/>
                <w:szCs w:val="21"/>
              </w:rPr>
              <w:t>nvasive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 c</w:t>
            </w:r>
            <w:r w:rsidR="004874AE" w:rsidRPr="00FA6B1C">
              <w:rPr>
                <w:rFonts w:ascii="Times New Roman" w:hAnsi="Times New Roman"/>
                <w:szCs w:val="21"/>
              </w:rPr>
              <w:t xml:space="preserve">utaneous squamous cell carcinoma (SCC) </w:t>
            </w:r>
            <w:r w:rsidR="004874AE">
              <w:rPr>
                <w:rFonts w:ascii="Times New Roman" w:hAnsi="Times New Roman"/>
                <w:szCs w:val="21"/>
              </w:rPr>
              <w:t xml:space="preserve">is considered to </w:t>
            </w:r>
            <w:r w:rsidR="004874AE">
              <w:rPr>
                <w:rFonts w:ascii="Times New Roman" w:hAnsi="Times New Roman" w:hint="eastAsia"/>
                <w:szCs w:val="21"/>
              </w:rPr>
              <w:t>develop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 from </w:t>
            </w:r>
            <w:r w:rsidR="004874AE" w:rsidRPr="00FA6B1C">
              <w:rPr>
                <w:rFonts w:ascii="Times New Roman" w:hAnsi="Times New Roman"/>
                <w:szCs w:val="21"/>
              </w:rPr>
              <w:t xml:space="preserve">SCC in situ (SCIS), but </w:t>
            </w:r>
            <w:r w:rsidR="004874AE">
              <w:rPr>
                <w:rFonts w:ascii="Times New Roman" w:hAnsi="Times New Roman"/>
                <w:szCs w:val="21"/>
              </w:rPr>
              <w:t>the developmental process is not clear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. </w:t>
            </w:r>
            <w:r w:rsidRPr="00FA6B1C">
              <w:rPr>
                <w:rFonts w:ascii="Times New Roman" w:hAnsi="Times New Roman"/>
                <w:szCs w:val="21"/>
              </w:rPr>
              <w:t xml:space="preserve">EphA2 is a member of the </w:t>
            </w:r>
            <w:proofErr w:type="spellStart"/>
            <w:r w:rsidRPr="00FA6B1C">
              <w:rPr>
                <w:rFonts w:ascii="Times New Roman" w:hAnsi="Times New Roman"/>
                <w:szCs w:val="21"/>
              </w:rPr>
              <w:t>Eph</w:t>
            </w:r>
            <w:proofErr w:type="spellEnd"/>
            <w:r w:rsidRPr="00FA6B1C">
              <w:rPr>
                <w:rFonts w:ascii="Times New Roman" w:hAnsi="Times New Roman"/>
                <w:szCs w:val="21"/>
              </w:rPr>
              <w:t xml:space="preserve"> fami</w:t>
            </w:r>
            <w:r w:rsidR="0013751A">
              <w:rPr>
                <w:rFonts w:ascii="Times New Roman" w:hAnsi="Times New Roman"/>
                <w:szCs w:val="21"/>
              </w:rPr>
              <w:t>ly of receptor tyrosine kinases and</w:t>
            </w:r>
            <w:r w:rsidRPr="00FA6B1C">
              <w:rPr>
                <w:rFonts w:ascii="Times New Roman" w:hAnsi="Times New Roman"/>
                <w:szCs w:val="21"/>
              </w:rPr>
              <w:t xml:space="preserve"> interact</w:t>
            </w:r>
            <w:r w:rsidR="0013751A">
              <w:rPr>
                <w:rFonts w:ascii="Times New Roman" w:hAnsi="Times New Roman"/>
                <w:szCs w:val="21"/>
              </w:rPr>
              <w:t>s</w:t>
            </w:r>
            <w:r w:rsidRPr="00FA6B1C">
              <w:rPr>
                <w:rFonts w:ascii="Times New Roman" w:hAnsi="Times New Roman"/>
                <w:szCs w:val="21"/>
              </w:rPr>
              <w:t xml:space="preserve"> with ligands known as </w:t>
            </w:r>
            <w:proofErr w:type="spellStart"/>
            <w:r w:rsidRPr="00FA6B1C">
              <w:rPr>
                <w:rFonts w:ascii="Times New Roman" w:hAnsi="Times New Roman"/>
                <w:szCs w:val="21"/>
              </w:rPr>
              <w:t>ephrins</w:t>
            </w:r>
            <w:proofErr w:type="spellEnd"/>
            <w:r w:rsidRPr="00FA6B1C">
              <w:rPr>
                <w:rFonts w:ascii="Times New Roman" w:hAnsi="Times New Roman"/>
                <w:szCs w:val="21"/>
              </w:rPr>
              <w:t xml:space="preserve">. In normal cells,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binding of </w:t>
            </w:r>
            <w:r w:rsidR="004874AE">
              <w:rPr>
                <w:rFonts w:ascii="Times New Roman" w:hAnsi="Times New Roman"/>
                <w:szCs w:val="21"/>
              </w:rPr>
              <w:t>Eph</w:t>
            </w:r>
            <w:r w:rsidRPr="00FA6B1C">
              <w:rPr>
                <w:rFonts w:ascii="Times New Roman" w:hAnsi="Times New Roman"/>
                <w:szCs w:val="21"/>
              </w:rPr>
              <w:t>A1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to </w:t>
            </w:r>
            <w:r w:rsidR="004874AE">
              <w:rPr>
                <w:rFonts w:ascii="Times New Roman" w:hAnsi="Times New Roman"/>
                <w:szCs w:val="21"/>
              </w:rPr>
              <w:t>EphA2 inhibits RAS</w:t>
            </w:r>
            <w:r w:rsidRPr="00FA6B1C">
              <w:rPr>
                <w:rFonts w:ascii="Times New Roman" w:hAnsi="Times New Roman"/>
                <w:szCs w:val="21"/>
              </w:rPr>
              <w:t xml:space="preserve"> and its downstream sign</w:t>
            </w:r>
            <w:bookmarkStart w:id="0" w:name="_GoBack"/>
            <w:bookmarkEnd w:id="0"/>
            <w:r w:rsidRPr="00FA6B1C">
              <w:rPr>
                <w:rFonts w:ascii="Times New Roman" w:hAnsi="Times New Roman"/>
                <w:szCs w:val="21"/>
              </w:rPr>
              <w:t>als</w:t>
            </w:r>
            <w:r w:rsidRPr="00FA6B1C">
              <w:rPr>
                <w:rFonts w:ascii="Times New Roman" w:hAnsi="Times New Roman" w:hint="eastAsia"/>
                <w:szCs w:val="21"/>
              </w:rPr>
              <w:t>, leading to suppression of the EGF-</w:t>
            </w:r>
            <w:r w:rsidR="0013751A">
              <w:rPr>
                <w:rFonts w:ascii="Times New Roman" w:hAnsi="Times New Roman"/>
                <w:szCs w:val="21"/>
              </w:rPr>
              <w:t xml:space="preserve"> </w:t>
            </w:r>
            <w:r w:rsidR="004874AE">
              <w:rPr>
                <w:rFonts w:ascii="Times New Roman" w:hAnsi="Times New Roman" w:hint="eastAsia"/>
                <w:szCs w:val="21"/>
              </w:rPr>
              <w:t>EGFR growth pathway;</w:t>
            </w:r>
            <w:r w:rsidR="0013751A">
              <w:rPr>
                <w:rFonts w:ascii="Times New Roman" w:hAnsi="Times New Roman" w:hint="eastAsia"/>
                <w:szCs w:val="21"/>
              </w:rPr>
              <w:t xml:space="preserve"> wh</w:t>
            </w:r>
            <w:r w:rsidR="0013751A">
              <w:rPr>
                <w:rFonts w:ascii="Times New Roman" w:hAnsi="Times New Roman"/>
                <w:szCs w:val="21"/>
              </w:rPr>
              <w:t>ereas</w:t>
            </w:r>
            <w:r w:rsidRPr="00FA6B1C">
              <w:rPr>
                <w:rFonts w:ascii="Times New Roman" w:hAnsi="Times New Roman"/>
                <w:szCs w:val="21"/>
              </w:rPr>
              <w:t xml:space="preserve"> in cancer cells, </w:t>
            </w:r>
            <w:r w:rsidRPr="00FA6B1C">
              <w:rPr>
                <w:rFonts w:ascii="Times New Roman" w:hAnsi="Times New Roman" w:hint="eastAsia"/>
                <w:szCs w:val="21"/>
              </w:rPr>
              <w:t>t</w:t>
            </w:r>
            <w:r w:rsidRPr="00FA6B1C">
              <w:rPr>
                <w:rFonts w:ascii="Times New Roman" w:hAnsi="Times New Roman"/>
                <w:szCs w:val="21"/>
              </w:rPr>
              <w:t>he MT1-</w:t>
            </w:r>
            <w:r w:rsidR="0013751A">
              <w:rPr>
                <w:rFonts w:ascii="Times New Roman" w:hAnsi="Times New Roman"/>
                <w:szCs w:val="21"/>
              </w:rPr>
              <w:t xml:space="preserve"> </w:t>
            </w:r>
            <w:r w:rsidRPr="00FA6B1C">
              <w:rPr>
                <w:rFonts w:ascii="Times New Roman" w:hAnsi="Times New Roman"/>
                <w:szCs w:val="21"/>
              </w:rPr>
              <w:t xml:space="preserve">MMP-processed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form of </w:t>
            </w:r>
            <w:r w:rsidRPr="00FA6B1C">
              <w:rPr>
                <w:rFonts w:ascii="Times New Roman" w:hAnsi="Times New Roman"/>
                <w:szCs w:val="21"/>
              </w:rPr>
              <w:t xml:space="preserve">EphA2 promotes invasion via stimulation of </w:t>
            </w:r>
            <w:r w:rsidR="00D61022">
              <w:rPr>
                <w:rFonts w:ascii="Times New Roman" w:hAnsi="Times New Roman"/>
                <w:szCs w:val="21"/>
              </w:rPr>
              <w:t>RAS</w:t>
            </w:r>
            <w:r w:rsidRPr="00FA6B1C">
              <w:rPr>
                <w:rFonts w:ascii="Times New Roman" w:hAnsi="Times New Roman"/>
                <w:szCs w:val="21"/>
              </w:rPr>
              <w:t xml:space="preserve">.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We previously </w:t>
            </w:r>
            <w:r w:rsidR="00D61022">
              <w:rPr>
                <w:rFonts w:ascii="Times New Roman" w:hAnsi="Times New Roman"/>
                <w:szCs w:val="21"/>
              </w:rPr>
              <w:t>report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ed </w:t>
            </w:r>
            <w:r w:rsidR="00D61022">
              <w:rPr>
                <w:rFonts w:ascii="Times New Roman" w:hAnsi="Times New Roman" w:hint="eastAsia"/>
                <w:szCs w:val="21"/>
              </w:rPr>
              <w:t xml:space="preserve">possible </w:t>
            </w:r>
            <w:r w:rsidR="00D61022" w:rsidRPr="00FA6B1C">
              <w:rPr>
                <w:rFonts w:ascii="Times New Roman" w:hAnsi="Times New Roman"/>
                <w:szCs w:val="21"/>
              </w:rPr>
              <w:t>processing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of </w:t>
            </w:r>
            <w:r w:rsidRPr="00FA6B1C">
              <w:rPr>
                <w:rFonts w:ascii="Times New Roman" w:hAnsi="Times New Roman"/>
                <w:szCs w:val="21"/>
              </w:rPr>
              <w:t xml:space="preserve">EphA2 by MT1-MMP in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invasive </w:t>
            </w:r>
            <w:r w:rsidRPr="00FA6B1C">
              <w:rPr>
                <w:rFonts w:ascii="Times New Roman" w:hAnsi="Times New Roman"/>
                <w:szCs w:val="21"/>
              </w:rPr>
              <w:t>cutaneous SCC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. </w:t>
            </w:r>
            <w:r w:rsidRPr="00FA6B1C">
              <w:rPr>
                <w:rFonts w:ascii="Times New Roman" w:hAnsi="Times New Roman"/>
                <w:szCs w:val="21"/>
              </w:rPr>
              <w:t xml:space="preserve">Here, we investigated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the proximity of MT1-MMP and EphA2 on cancer cells in reference to its effect on EphA2 processing and </w:t>
            </w:r>
            <w:r w:rsidRPr="00FA6B1C">
              <w:rPr>
                <w:rFonts w:ascii="Times New Roman" w:hAnsi="Times New Roman"/>
                <w:szCs w:val="21"/>
              </w:rPr>
              <w:t>relationship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with tumor invasiveness. [Methods] 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>E</w:t>
            </w:r>
            <w:r w:rsidR="004874AE" w:rsidRPr="00FA6B1C">
              <w:rPr>
                <w:rFonts w:ascii="Times New Roman" w:hAnsi="Times New Roman"/>
                <w:szCs w:val="21"/>
              </w:rPr>
              <w:t>xpression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 patterns and levels</w:t>
            </w:r>
            <w:r w:rsidR="004874AE" w:rsidRPr="00FA6B1C">
              <w:rPr>
                <w:rFonts w:ascii="Times New Roman" w:hAnsi="Times New Roman"/>
                <w:szCs w:val="21"/>
              </w:rPr>
              <w:t xml:space="preserve"> of EphA2 (C-term and N-term) and MT1-MMP 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were </w:t>
            </w:r>
            <w:r w:rsidR="004874AE">
              <w:rPr>
                <w:rFonts w:ascii="Times New Roman" w:hAnsi="Times New Roman"/>
                <w:szCs w:val="21"/>
              </w:rPr>
              <w:t>immuno</w:t>
            </w:r>
            <w:r w:rsidR="004874AE" w:rsidRPr="00FA6B1C">
              <w:rPr>
                <w:rFonts w:ascii="Times New Roman" w:hAnsi="Times New Roman"/>
                <w:szCs w:val="21"/>
              </w:rPr>
              <w:t>histochemical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>ly</w:t>
            </w:r>
            <w:r w:rsidR="004874AE" w:rsidRPr="00FA6B1C">
              <w:rPr>
                <w:rFonts w:ascii="Times New Roman" w:hAnsi="Times New Roman"/>
                <w:szCs w:val="21"/>
              </w:rPr>
              <w:t xml:space="preserve"> analyzed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="004874AE">
              <w:rPr>
                <w:rFonts w:ascii="Times New Roman" w:hAnsi="Times New Roman"/>
                <w:szCs w:val="21"/>
              </w:rPr>
              <w:t>from samples of</w:t>
            </w:r>
            <w:r w:rsidR="004874AE" w:rsidRPr="00FA6B1C">
              <w:rPr>
                <w:rFonts w:ascii="Times New Roman" w:hAnsi="Times New Roman"/>
                <w:szCs w:val="21"/>
              </w:rPr>
              <w:t xml:space="preserve"> invasive SCC and SCIS.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="004874AE">
              <w:rPr>
                <w:rFonts w:ascii="Times New Roman" w:hAnsi="Times New Roman"/>
                <w:szCs w:val="21"/>
              </w:rPr>
              <w:t>The p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roximity of MT1-MMP and EphA2 </w:t>
            </w:r>
            <w:r w:rsidR="004874AE">
              <w:rPr>
                <w:rFonts w:ascii="Times New Roman" w:hAnsi="Times New Roman"/>
                <w:szCs w:val="21"/>
              </w:rPr>
              <w:t>to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 cancer cells and </w:t>
            </w:r>
            <w:r w:rsidR="004874AE">
              <w:rPr>
                <w:rFonts w:ascii="Times New Roman" w:hAnsi="Times New Roman"/>
                <w:szCs w:val="21"/>
              </w:rPr>
              <w:t>their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 effect on EphA2 processing w</w:t>
            </w:r>
            <w:r w:rsidR="004874AE" w:rsidRPr="00FA6B1C">
              <w:rPr>
                <w:rFonts w:ascii="Times New Roman" w:hAnsi="Times New Roman"/>
                <w:szCs w:val="21"/>
              </w:rPr>
              <w:t>ere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 investigated using a combination of </w:t>
            </w:r>
            <w:r w:rsidR="004874AE" w:rsidRPr="00FA6B1C">
              <w:rPr>
                <w:rFonts w:ascii="Times New Roman" w:hAnsi="Times New Roman"/>
                <w:szCs w:val="21"/>
              </w:rPr>
              <w:t>in situ PLA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="004874AE" w:rsidRPr="00FA6B1C">
              <w:rPr>
                <w:rFonts w:ascii="Times New Roman" w:hAnsi="Times New Roman"/>
                <w:szCs w:val="21"/>
              </w:rPr>
              <w:t>(Proximity Ligation Assay)</w:t>
            </w:r>
            <w:r w:rsidR="004874AE">
              <w:rPr>
                <w:rFonts w:ascii="Times New Roman" w:hAnsi="Times New Roman"/>
                <w:szCs w:val="21"/>
              </w:rPr>
              <w:t xml:space="preserve"> 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and </w:t>
            </w:r>
            <w:r w:rsidR="004874AE">
              <w:rPr>
                <w:rFonts w:ascii="Times New Roman" w:hAnsi="Times New Roman"/>
                <w:szCs w:val="21"/>
              </w:rPr>
              <w:t>W</w:t>
            </w:r>
            <w:r w:rsidR="004874AE" w:rsidRPr="00FA6B1C">
              <w:rPr>
                <w:rFonts w:ascii="Times New Roman" w:hAnsi="Times New Roman"/>
                <w:szCs w:val="21"/>
              </w:rPr>
              <w:t>estern blot</w:t>
            </w:r>
            <w:r w:rsidR="004874AE" w:rsidRPr="00FA6B1C">
              <w:rPr>
                <w:rFonts w:ascii="Times New Roman" w:hAnsi="Times New Roman" w:hint="eastAsia"/>
                <w:szCs w:val="21"/>
              </w:rPr>
              <w:t xml:space="preserve">ting.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[Results] </w:t>
            </w:r>
            <w:proofErr w:type="spellStart"/>
            <w:r w:rsidRPr="00FA6B1C">
              <w:rPr>
                <w:rFonts w:ascii="Times New Roman" w:hAnsi="Times New Roman"/>
                <w:szCs w:val="21"/>
              </w:rPr>
              <w:t>Immunohistochemical</w:t>
            </w:r>
            <w:proofErr w:type="spellEnd"/>
            <w:r w:rsidRPr="00FA6B1C">
              <w:rPr>
                <w:rFonts w:ascii="Times New Roman" w:hAnsi="Times New Roman"/>
                <w:szCs w:val="21"/>
              </w:rPr>
              <w:t xml:space="preserve"> </w:t>
            </w:r>
            <w:r w:rsidRPr="00FA6B1C">
              <w:rPr>
                <w:rFonts w:ascii="Times New Roman" w:hAnsi="Times New Roman" w:hint="eastAsia"/>
                <w:szCs w:val="21"/>
              </w:rPr>
              <w:t>study</w:t>
            </w:r>
            <w:r w:rsidRPr="00FA6B1C">
              <w:rPr>
                <w:rFonts w:ascii="Times New Roman" w:hAnsi="Times New Roman"/>
                <w:szCs w:val="21"/>
              </w:rPr>
              <w:t xml:space="preserve"> </w:t>
            </w:r>
            <w:r w:rsidRPr="00FA6B1C">
              <w:rPr>
                <w:rFonts w:ascii="Times New Roman" w:hAnsi="Times New Roman" w:hint="eastAsia"/>
                <w:szCs w:val="21"/>
              </w:rPr>
              <w:t>show</w:t>
            </w:r>
            <w:r w:rsidRPr="00FA6B1C">
              <w:rPr>
                <w:rFonts w:ascii="Times New Roman" w:hAnsi="Times New Roman"/>
                <w:szCs w:val="21"/>
              </w:rPr>
              <w:t xml:space="preserve">ed that expression </w:t>
            </w:r>
            <w:r w:rsidR="00D61022">
              <w:rPr>
                <w:rFonts w:ascii="Times New Roman" w:hAnsi="Times New Roman"/>
                <w:szCs w:val="21"/>
              </w:rPr>
              <w:t>levels</w:t>
            </w:r>
            <w:r w:rsidRPr="00FA6B1C">
              <w:rPr>
                <w:rFonts w:ascii="Times New Roman" w:hAnsi="Times New Roman"/>
                <w:szCs w:val="21"/>
              </w:rPr>
              <w:t xml:space="preserve"> of </w:t>
            </w:r>
            <w:r w:rsidRPr="00FA6B1C">
              <w:rPr>
                <w:rFonts w:ascii="Times New Roman" w:hAnsi="Times New Roman" w:hint="eastAsia"/>
                <w:szCs w:val="21"/>
              </w:rPr>
              <w:t>C- and N-term</w:t>
            </w:r>
            <w:r w:rsidR="00D61022">
              <w:rPr>
                <w:rFonts w:ascii="Times New Roman" w:hAnsi="Times New Roman"/>
                <w:szCs w:val="21"/>
              </w:rPr>
              <w:t xml:space="preserve"> </w:t>
            </w:r>
            <w:r w:rsidRPr="00FA6B1C">
              <w:rPr>
                <w:rFonts w:ascii="Times New Roman" w:hAnsi="Times New Roman" w:hint="eastAsia"/>
                <w:szCs w:val="21"/>
              </w:rPr>
              <w:t>of EphA2</w:t>
            </w:r>
            <w:r w:rsidRPr="00FA6B1C">
              <w:rPr>
                <w:rFonts w:ascii="Times New Roman" w:hAnsi="Times New Roman"/>
                <w:szCs w:val="21"/>
              </w:rPr>
              <w:t xml:space="preserve"> were similar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A6B1C">
              <w:rPr>
                <w:rFonts w:ascii="Times New Roman" w:hAnsi="Times New Roman"/>
                <w:szCs w:val="21"/>
              </w:rPr>
              <w:t xml:space="preserve">in </w:t>
            </w:r>
            <w:r w:rsidRPr="00FA6B1C">
              <w:rPr>
                <w:rFonts w:ascii="Times New Roman" w:hAnsi="Times New Roman" w:hint="eastAsia"/>
                <w:szCs w:val="21"/>
              </w:rPr>
              <w:t>SCIS</w:t>
            </w:r>
            <w:r w:rsidRPr="00FA6B1C">
              <w:rPr>
                <w:rFonts w:ascii="Times New Roman" w:hAnsi="Times New Roman"/>
                <w:szCs w:val="21"/>
              </w:rPr>
              <w:t>,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while expression </w:t>
            </w:r>
            <w:r w:rsidR="00D61022">
              <w:rPr>
                <w:rFonts w:ascii="Times New Roman" w:hAnsi="Times New Roman"/>
                <w:szCs w:val="21"/>
              </w:rPr>
              <w:t>level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s of N-term of EphA2 were significantly reduced compared to those of C-term in </w:t>
            </w:r>
            <w:r w:rsidRPr="00FA6B1C">
              <w:rPr>
                <w:rFonts w:ascii="Times New Roman" w:hAnsi="Times New Roman"/>
                <w:szCs w:val="21"/>
              </w:rPr>
              <w:t>invasive SCC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. In vitro, </w:t>
            </w:r>
            <w:r w:rsidRPr="00FA6B1C">
              <w:rPr>
                <w:rFonts w:ascii="Times New Roman" w:hAnsi="Times New Roman"/>
                <w:szCs w:val="21"/>
              </w:rPr>
              <w:t xml:space="preserve">proximity of MT1-MMP and EphA2 was </w:t>
            </w:r>
            <w:r w:rsidRPr="00FA6B1C">
              <w:rPr>
                <w:rFonts w:ascii="Times New Roman" w:hAnsi="Times New Roman" w:hint="eastAsia"/>
                <w:szCs w:val="21"/>
              </w:rPr>
              <w:t>demonstrated by</w:t>
            </w:r>
            <w:r w:rsidRPr="00FA6B1C">
              <w:rPr>
                <w:rFonts w:ascii="Times New Roman" w:hAnsi="Times New Roman"/>
                <w:szCs w:val="21"/>
              </w:rPr>
              <w:t xml:space="preserve"> in situ PLA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in</w:t>
            </w:r>
            <w:r w:rsidRPr="00FA6B1C">
              <w:rPr>
                <w:rFonts w:ascii="Times New Roman" w:hAnsi="Times New Roman"/>
                <w:szCs w:val="21"/>
              </w:rPr>
              <w:t xml:space="preserve"> MT1-MMP </w:t>
            </w:r>
            <w:r w:rsidRPr="00FA6B1C">
              <w:rPr>
                <w:rFonts w:ascii="Times New Roman" w:hAnsi="Times New Roman" w:hint="eastAsia"/>
                <w:szCs w:val="21"/>
              </w:rPr>
              <w:t>expressing</w:t>
            </w:r>
            <w:r w:rsidRPr="00FA6B1C">
              <w:rPr>
                <w:rFonts w:ascii="Times New Roman" w:hAnsi="Times New Roman"/>
                <w:szCs w:val="21"/>
              </w:rPr>
              <w:t xml:space="preserve"> HT-1080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A6B1C">
              <w:rPr>
                <w:rFonts w:ascii="Times New Roman" w:hAnsi="Times New Roman"/>
                <w:szCs w:val="21"/>
              </w:rPr>
              <w:t>cell</w:t>
            </w:r>
            <w:r w:rsidRPr="00FA6B1C">
              <w:rPr>
                <w:rFonts w:ascii="Times New Roman" w:hAnsi="Times New Roman" w:hint="eastAsia"/>
                <w:szCs w:val="21"/>
              </w:rPr>
              <w:t>s</w:t>
            </w:r>
            <w:r w:rsidR="00D61022">
              <w:rPr>
                <w:rFonts w:ascii="Times New Roman" w:hAnsi="Times New Roman"/>
                <w:szCs w:val="21"/>
              </w:rPr>
              <w:t xml:space="preserve"> in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="00D61022">
              <w:rPr>
                <w:rFonts w:ascii="Times New Roman" w:hAnsi="Times New Roman" w:hint="eastAsia"/>
                <w:szCs w:val="21"/>
              </w:rPr>
              <w:t>association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with generation of processed EphA2 fragments</w:t>
            </w:r>
            <w:r w:rsidRPr="00FA6B1C">
              <w:rPr>
                <w:rFonts w:ascii="Times New Roman" w:hAnsi="Times New Roman"/>
                <w:szCs w:val="21"/>
              </w:rPr>
              <w:t>.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A6B1C">
              <w:rPr>
                <w:rFonts w:ascii="Times New Roman" w:hAnsi="Times New Roman"/>
                <w:szCs w:val="21"/>
              </w:rPr>
              <w:t>In contrast, in MT1-MMP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-knockdown </w:t>
            </w:r>
            <w:r w:rsidRPr="00FA6B1C">
              <w:rPr>
                <w:rFonts w:ascii="Times New Roman" w:hAnsi="Times New Roman"/>
                <w:szCs w:val="21"/>
              </w:rPr>
              <w:t>HT-1080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A6B1C">
              <w:rPr>
                <w:rFonts w:ascii="Times New Roman" w:hAnsi="Times New Roman"/>
                <w:szCs w:val="21"/>
              </w:rPr>
              <w:t>cell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s, </w:t>
            </w:r>
            <w:r w:rsidRPr="00FA6B1C">
              <w:rPr>
                <w:rFonts w:ascii="Times New Roman" w:hAnsi="Times New Roman"/>
                <w:szCs w:val="21"/>
              </w:rPr>
              <w:t xml:space="preserve">proximity of MT1-MMP and EphA2 was not </w:t>
            </w:r>
            <w:r w:rsidRPr="00FA6B1C">
              <w:rPr>
                <w:rFonts w:ascii="Times New Roman" w:hAnsi="Times New Roman" w:hint="eastAsia"/>
                <w:szCs w:val="21"/>
              </w:rPr>
              <w:t>evident</w:t>
            </w:r>
            <w:r w:rsidRPr="00FA6B1C">
              <w:rPr>
                <w:rFonts w:ascii="Times New Roman" w:hAnsi="Times New Roman"/>
                <w:szCs w:val="21"/>
              </w:rPr>
              <w:t xml:space="preserve"> and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processed EphA2 fragments</w:t>
            </w:r>
            <w:r w:rsidRPr="00FA6B1C">
              <w:rPr>
                <w:rFonts w:ascii="Times New Roman" w:hAnsi="Times New Roman"/>
                <w:szCs w:val="21"/>
              </w:rPr>
              <w:t xml:space="preserve">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were </w:t>
            </w:r>
            <w:r w:rsidRPr="00FA6B1C">
              <w:rPr>
                <w:rFonts w:ascii="Times New Roman" w:hAnsi="Times New Roman"/>
                <w:szCs w:val="21"/>
              </w:rPr>
              <w:t>decreased.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[Conclusion] These lines of evidence suggest possible involvement </w:t>
            </w:r>
            <w:r w:rsidRPr="00FA6B1C">
              <w:rPr>
                <w:rFonts w:ascii="Times New Roman" w:hAnsi="Times New Roman"/>
                <w:szCs w:val="21"/>
              </w:rPr>
              <w:t>of MT1-MMP processing of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A6B1C">
              <w:rPr>
                <w:rFonts w:ascii="Times New Roman" w:hAnsi="Times New Roman"/>
                <w:szCs w:val="21"/>
              </w:rPr>
              <w:t xml:space="preserve">EphA2 in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invasiveness of </w:t>
            </w:r>
            <w:r w:rsidRPr="00FA6B1C">
              <w:rPr>
                <w:rFonts w:ascii="Times New Roman" w:hAnsi="Times New Roman"/>
                <w:szCs w:val="21"/>
              </w:rPr>
              <w:t>cutaneous SCC</w:t>
            </w:r>
            <w:r w:rsidRPr="00FA6B1C">
              <w:rPr>
                <w:rFonts w:ascii="Times New Roman" w:hAnsi="Times New Roman" w:hint="eastAsia"/>
                <w:szCs w:val="21"/>
              </w:rPr>
              <w:t>.</w:t>
            </w:r>
          </w:p>
        </w:tc>
      </w:tr>
      <w:tr w:rsidR="00EB6925" w:rsidRPr="0026541F" w:rsidTr="00EF76E6">
        <w:trPr>
          <w:trHeight w:hRule="exact" w:val="4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25" w:rsidRPr="00B3537E" w:rsidRDefault="00EB6925" w:rsidP="00EB6925">
            <w:r>
              <w:t>キーワード：</w:t>
            </w:r>
            <w:r w:rsidRPr="00B3537E">
              <w:t xml:space="preserve"> </w:t>
            </w:r>
            <w:r>
              <w:rPr>
                <w:rFonts w:hint="eastAsia"/>
              </w:rPr>
              <w:t>皮膚有棘細胞癌、</w:t>
            </w:r>
            <w:r>
              <w:rPr>
                <w:rFonts w:hint="eastAsia"/>
              </w:rPr>
              <w:t>EphA2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MT1-MMP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25" w:rsidRPr="00B3537E" w:rsidRDefault="00EB6925" w:rsidP="00EB6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Key words: SCC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hint="eastAsia"/>
              </w:rPr>
              <w:t>EphA2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hint="eastAsia"/>
              </w:rPr>
              <w:t>MT1-MMP</w:t>
            </w:r>
          </w:p>
        </w:tc>
      </w:tr>
    </w:tbl>
    <w:p w:rsidR="00B43A26" w:rsidRPr="00B3537E" w:rsidRDefault="00B43A26" w:rsidP="001860A1">
      <w:pPr>
        <w:tabs>
          <w:tab w:val="left" w:pos="2562"/>
        </w:tabs>
      </w:pPr>
    </w:p>
    <w:sectPr w:rsidR="00B43A26" w:rsidRPr="00B3537E" w:rsidSect="00693C3A">
      <w:pgSz w:w="11906" w:h="16838" w:code="9"/>
      <w:pgMar w:top="720" w:right="720" w:bottom="510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2C2" w:rsidRDefault="003752C2" w:rsidP="006D3F32">
      <w:r>
        <w:separator/>
      </w:r>
    </w:p>
  </w:endnote>
  <w:endnote w:type="continuationSeparator" w:id="0">
    <w:p w:rsidR="003752C2" w:rsidRDefault="003752C2" w:rsidP="006D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2C2" w:rsidRDefault="003752C2" w:rsidP="006D3F32">
      <w:r>
        <w:separator/>
      </w:r>
    </w:p>
  </w:footnote>
  <w:footnote w:type="continuationSeparator" w:id="0">
    <w:p w:rsidR="003752C2" w:rsidRDefault="003752C2" w:rsidP="006D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745F"/>
    <w:multiLevelType w:val="hybridMultilevel"/>
    <w:tmpl w:val="D16C9D88"/>
    <w:lvl w:ilvl="0" w:tplc="83F4B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3338DA"/>
    <w:multiLevelType w:val="hybridMultilevel"/>
    <w:tmpl w:val="C556107C"/>
    <w:lvl w:ilvl="0" w:tplc="D9902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4BD2701"/>
    <w:multiLevelType w:val="hybridMultilevel"/>
    <w:tmpl w:val="C3F63D42"/>
    <w:lvl w:ilvl="0" w:tplc="B73E509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056C65"/>
    <w:multiLevelType w:val="hybridMultilevel"/>
    <w:tmpl w:val="FEA24468"/>
    <w:lvl w:ilvl="0" w:tplc="F8103C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5161109"/>
    <w:multiLevelType w:val="hybridMultilevel"/>
    <w:tmpl w:val="257EC2EC"/>
    <w:lvl w:ilvl="0" w:tplc="3E4E9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B343CA8"/>
    <w:multiLevelType w:val="hybridMultilevel"/>
    <w:tmpl w:val="63BCC02E"/>
    <w:lvl w:ilvl="0" w:tplc="823A90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6C97579"/>
    <w:multiLevelType w:val="hybridMultilevel"/>
    <w:tmpl w:val="E8049B4A"/>
    <w:lvl w:ilvl="0" w:tplc="E1AAE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BB96220"/>
    <w:multiLevelType w:val="hybridMultilevel"/>
    <w:tmpl w:val="F6C0A4D4"/>
    <w:lvl w:ilvl="0" w:tplc="F24A9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CDC68E7"/>
    <w:multiLevelType w:val="hybridMultilevel"/>
    <w:tmpl w:val="CE621A36"/>
    <w:lvl w:ilvl="0" w:tplc="AE8241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ED623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EAC513B"/>
    <w:multiLevelType w:val="hybridMultilevel"/>
    <w:tmpl w:val="136435FA"/>
    <w:lvl w:ilvl="0" w:tplc="0896E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hyphenationZone w:val="357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E4A"/>
    <w:rsid w:val="00031B31"/>
    <w:rsid w:val="00034338"/>
    <w:rsid w:val="0005299E"/>
    <w:rsid w:val="00062C80"/>
    <w:rsid w:val="00082CAB"/>
    <w:rsid w:val="000D3BB8"/>
    <w:rsid w:val="000D5E4A"/>
    <w:rsid w:val="000E6B0C"/>
    <w:rsid w:val="001038BE"/>
    <w:rsid w:val="00133FA1"/>
    <w:rsid w:val="0013751A"/>
    <w:rsid w:val="0014015A"/>
    <w:rsid w:val="00147A57"/>
    <w:rsid w:val="001643F9"/>
    <w:rsid w:val="001860A1"/>
    <w:rsid w:val="00186FF8"/>
    <w:rsid w:val="001950A6"/>
    <w:rsid w:val="001A6677"/>
    <w:rsid w:val="001C347D"/>
    <w:rsid w:val="001E4C75"/>
    <w:rsid w:val="0026541F"/>
    <w:rsid w:val="00267457"/>
    <w:rsid w:val="002821F1"/>
    <w:rsid w:val="00284695"/>
    <w:rsid w:val="0028742B"/>
    <w:rsid w:val="00291F96"/>
    <w:rsid w:val="002A2E70"/>
    <w:rsid w:val="002B0B5E"/>
    <w:rsid w:val="002C4461"/>
    <w:rsid w:val="002C6AD8"/>
    <w:rsid w:val="002D2C8A"/>
    <w:rsid w:val="002E1EED"/>
    <w:rsid w:val="002E2805"/>
    <w:rsid w:val="003061F8"/>
    <w:rsid w:val="00330C1C"/>
    <w:rsid w:val="00365F84"/>
    <w:rsid w:val="00366ED5"/>
    <w:rsid w:val="00374715"/>
    <w:rsid w:val="003752C2"/>
    <w:rsid w:val="00382382"/>
    <w:rsid w:val="003B42A1"/>
    <w:rsid w:val="003B5A80"/>
    <w:rsid w:val="003B6E1A"/>
    <w:rsid w:val="003F019D"/>
    <w:rsid w:val="003F3E77"/>
    <w:rsid w:val="00406CED"/>
    <w:rsid w:val="00430F88"/>
    <w:rsid w:val="004874AE"/>
    <w:rsid w:val="004B12FD"/>
    <w:rsid w:val="004D1F97"/>
    <w:rsid w:val="004F6674"/>
    <w:rsid w:val="00510263"/>
    <w:rsid w:val="005436FA"/>
    <w:rsid w:val="00551882"/>
    <w:rsid w:val="00553E17"/>
    <w:rsid w:val="00575413"/>
    <w:rsid w:val="00584A44"/>
    <w:rsid w:val="00585C54"/>
    <w:rsid w:val="00587B55"/>
    <w:rsid w:val="005B5C99"/>
    <w:rsid w:val="005C029F"/>
    <w:rsid w:val="005C609C"/>
    <w:rsid w:val="005D2AE0"/>
    <w:rsid w:val="005D3247"/>
    <w:rsid w:val="005E2053"/>
    <w:rsid w:val="00623019"/>
    <w:rsid w:val="00623943"/>
    <w:rsid w:val="00623C79"/>
    <w:rsid w:val="00627FE5"/>
    <w:rsid w:val="006329E4"/>
    <w:rsid w:val="0064419D"/>
    <w:rsid w:val="00680597"/>
    <w:rsid w:val="00693C3A"/>
    <w:rsid w:val="006A43A6"/>
    <w:rsid w:val="006B65C8"/>
    <w:rsid w:val="006B7B8E"/>
    <w:rsid w:val="006C5019"/>
    <w:rsid w:val="006D29AB"/>
    <w:rsid w:val="006D3F32"/>
    <w:rsid w:val="006E2591"/>
    <w:rsid w:val="006E4AE4"/>
    <w:rsid w:val="006E6C83"/>
    <w:rsid w:val="00706259"/>
    <w:rsid w:val="0074784B"/>
    <w:rsid w:val="007573D9"/>
    <w:rsid w:val="007621EA"/>
    <w:rsid w:val="00766EC1"/>
    <w:rsid w:val="00775622"/>
    <w:rsid w:val="007C2F15"/>
    <w:rsid w:val="007E3CB4"/>
    <w:rsid w:val="007E47E4"/>
    <w:rsid w:val="007E7EA7"/>
    <w:rsid w:val="00824E03"/>
    <w:rsid w:val="008275D3"/>
    <w:rsid w:val="00834A6E"/>
    <w:rsid w:val="00850915"/>
    <w:rsid w:val="00876D9F"/>
    <w:rsid w:val="008878F1"/>
    <w:rsid w:val="008A23FE"/>
    <w:rsid w:val="008A59EC"/>
    <w:rsid w:val="008C736D"/>
    <w:rsid w:val="008E6E35"/>
    <w:rsid w:val="00906288"/>
    <w:rsid w:val="009145C0"/>
    <w:rsid w:val="009416DB"/>
    <w:rsid w:val="009458CB"/>
    <w:rsid w:val="0095538C"/>
    <w:rsid w:val="0095616E"/>
    <w:rsid w:val="0095767B"/>
    <w:rsid w:val="00967226"/>
    <w:rsid w:val="00986E7F"/>
    <w:rsid w:val="009A5D8A"/>
    <w:rsid w:val="009B10AA"/>
    <w:rsid w:val="009C67F4"/>
    <w:rsid w:val="009D5856"/>
    <w:rsid w:val="00A244D9"/>
    <w:rsid w:val="00A2798E"/>
    <w:rsid w:val="00A552BC"/>
    <w:rsid w:val="00A618F6"/>
    <w:rsid w:val="00A6753C"/>
    <w:rsid w:val="00A77EF8"/>
    <w:rsid w:val="00A80247"/>
    <w:rsid w:val="00A84507"/>
    <w:rsid w:val="00AB5858"/>
    <w:rsid w:val="00AC6315"/>
    <w:rsid w:val="00AE1AB4"/>
    <w:rsid w:val="00AE1ACE"/>
    <w:rsid w:val="00B154C1"/>
    <w:rsid w:val="00B167FE"/>
    <w:rsid w:val="00B3537E"/>
    <w:rsid w:val="00B43A26"/>
    <w:rsid w:val="00B548F3"/>
    <w:rsid w:val="00B82349"/>
    <w:rsid w:val="00BB61D9"/>
    <w:rsid w:val="00BC6DB2"/>
    <w:rsid w:val="00BD182D"/>
    <w:rsid w:val="00BE0978"/>
    <w:rsid w:val="00BF2D0A"/>
    <w:rsid w:val="00BF5030"/>
    <w:rsid w:val="00C56A9F"/>
    <w:rsid w:val="00C7451E"/>
    <w:rsid w:val="00C97945"/>
    <w:rsid w:val="00CA574B"/>
    <w:rsid w:val="00CB6474"/>
    <w:rsid w:val="00CC23DD"/>
    <w:rsid w:val="00CC4530"/>
    <w:rsid w:val="00CC558A"/>
    <w:rsid w:val="00CE47CB"/>
    <w:rsid w:val="00CE723F"/>
    <w:rsid w:val="00CF30F6"/>
    <w:rsid w:val="00D02322"/>
    <w:rsid w:val="00D033EF"/>
    <w:rsid w:val="00D11754"/>
    <w:rsid w:val="00D32057"/>
    <w:rsid w:val="00D61022"/>
    <w:rsid w:val="00D779C9"/>
    <w:rsid w:val="00DA32C4"/>
    <w:rsid w:val="00DF1466"/>
    <w:rsid w:val="00E0108A"/>
    <w:rsid w:val="00E06B01"/>
    <w:rsid w:val="00E11CAB"/>
    <w:rsid w:val="00E150B0"/>
    <w:rsid w:val="00E1586F"/>
    <w:rsid w:val="00E23AA4"/>
    <w:rsid w:val="00E57EFD"/>
    <w:rsid w:val="00E64BCB"/>
    <w:rsid w:val="00E82C11"/>
    <w:rsid w:val="00E94EC0"/>
    <w:rsid w:val="00EA3CEA"/>
    <w:rsid w:val="00EA64E5"/>
    <w:rsid w:val="00EB6925"/>
    <w:rsid w:val="00EC70F5"/>
    <w:rsid w:val="00ED4162"/>
    <w:rsid w:val="00EF255C"/>
    <w:rsid w:val="00EF76E6"/>
    <w:rsid w:val="00F042ED"/>
    <w:rsid w:val="00F131F7"/>
    <w:rsid w:val="00F14811"/>
    <w:rsid w:val="00F216CA"/>
    <w:rsid w:val="00F43190"/>
    <w:rsid w:val="00F54293"/>
    <w:rsid w:val="00F55F8C"/>
    <w:rsid w:val="00F65389"/>
    <w:rsid w:val="00FA258C"/>
    <w:rsid w:val="00FA29DA"/>
    <w:rsid w:val="00FA5476"/>
    <w:rsid w:val="00FA6B1C"/>
    <w:rsid w:val="00FB3DCA"/>
    <w:rsid w:val="00FC60F8"/>
    <w:rsid w:val="00FC78AE"/>
    <w:rsid w:val="00FD73DB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7062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E4A"/>
    <w:pPr>
      <w:ind w:leftChars="400" w:left="840"/>
    </w:pPr>
  </w:style>
  <w:style w:type="character" w:customStyle="1" w:styleId="highlight">
    <w:name w:val="highlight"/>
    <w:rsid w:val="000D5E4A"/>
  </w:style>
  <w:style w:type="paragraph" w:styleId="a5">
    <w:name w:val="No Spacing"/>
    <w:uiPriority w:val="1"/>
    <w:qFormat/>
    <w:rsid w:val="000D5E4A"/>
    <w:pPr>
      <w:widowControl w:val="0"/>
      <w:jc w:val="both"/>
    </w:pPr>
    <w:rPr>
      <w:kern w:val="2"/>
      <w:sz w:val="21"/>
      <w:szCs w:val="22"/>
    </w:rPr>
  </w:style>
  <w:style w:type="character" w:styleId="a6">
    <w:name w:val="Hyperlink"/>
    <w:uiPriority w:val="99"/>
    <w:unhideWhenUsed/>
    <w:rsid w:val="00706259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7062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D3F3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D3F3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7471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74715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rmal Indent"/>
    <w:basedOn w:val="a"/>
    <w:uiPriority w:val="99"/>
    <w:rsid w:val="00082CAB"/>
    <w:pPr>
      <w:autoSpaceDE w:val="0"/>
      <w:autoSpaceDN w:val="0"/>
      <w:adjustRightInd w:val="0"/>
      <w:ind w:left="851"/>
      <w:jc w:val="left"/>
      <w:textAlignment w:val="baseline"/>
    </w:pPr>
    <w:rPr>
      <w:rFonts w:ascii="平成明朝" w:hAnsi="Tms Rmn"/>
      <w:color w:val="000000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1B933-DB00-42D7-9273-75F3BF90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れんこん</cp:lastModifiedBy>
  <cp:revision>3</cp:revision>
  <cp:lastPrinted>2015-03-06T03:54:00Z</cp:lastPrinted>
  <dcterms:created xsi:type="dcterms:W3CDTF">2017-11-21T06:35:00Z</dcterms:created>
  <dcterms:modified xsi:type="dcterms:W3CDTF">2017-12-08T02:21:00Z</dcterms:modified>
</cp:coreProperties>
</file>