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3FA89" w14:textId="33961D4B" w:rsidR="00E23017" w:rsidRPr="00B248AA" w:rsidRDefault="008C39FF" w:rsidP="00B248AA">
      <w:pPr>
        <w:pStyle w:val="ac"/>
      </w:pPr>
      <w:r w:rsidRPr="008C39FF">
        <w:rPr>
          <w:rFonts w:hint="eastAsia"/>
        </w:rPr>
        <w:t>身体的拘束最小化のための指針</w:t>
      </w:r>
      <w:r w:rsidR="00A435E8">
        <w:rPr>
          <w:rStyle w:val="af8"/>
        </w:rPr>
        <w:footnoteReference w:id="1"/>
      </w:r>
    </w:p>
    <w:p w14:paraId="642AB40F" w14:textId="554A81B5" w:rsidR="00B248AA" w:rsidRPr="00B248AA" w:rsidRDefault="00B248AA"/>
    <w:p w14:paraId="2BE0B184" w14:textId="5480AC52" w:rsidR="00B248AA" w:rsidRPr="00B248AA" w:rsidRDefault="00B248AA" w:rsidP="00B248AA">
      <w:pPr>
        <w:pStyle w:val="1"/>
        <w:numPr>
          <w:ilvl w:val="0"/>
          <w:numId w:val="1"/>
        </w:numPr>
      </w:pPr>
      <w:r w:rsidRPr="00B248AA">
        <w:t>はじめに</w:t>
      </w:r>
    </w:p>
    <w:p w14:paraId="310ECD08" w14:textId="47D4335B" w:rsidR="0058133F" w:rsidRDefault="0058133F" w:rsidP="0058133F">
      <w:pPr>
        <w:pStyle w:val="af0"/>
      </w:pPr>
      <w:r>
        <w:rPr>
          <w:rFonts w:hint="eastAsia"/>
        </w:rPr>
        <w:t>身体的拘束は患者の尊厳を害し、自由を制限するのみならず、身体的にも精神的に</w:t>
      </w:r>
      <w:r w:rsidR="00B1200E">
        <w:rPr>
          <w:rFonts w:hint="eastAsia"/>
        </w:rPr>
        <w:t>も</w:t>
      </w:r>
      <w:r>
        <w:rPr>
          <w:rFonts w:hint="eastAsia"/>
        </w:rPr>
        <w:t>弊害を伴うため、身体的拘束を行わないことが原則である。他方、私たちはすべての患者が安全に医療を受けられるようにする義務も負っており、患者本人や他の患者に危害を防止するためには、やむを得ず身体的拘束を行わなければならないこともありえる。</w:t>
      </w:r>
    </w:p>
    <w:p w14:paraId="265EE9ED" w14:textId="1FDC6E98" w:rsidR="00B248AA" w:rsidRPr="00B248AA" w:rsidRDefault="0058133F" w:rsidP="0058133F">
      <w:pPr>
        <w:pStyle w:val="af0"/>
      </w:pPr>
      <w:r>
        <w:rPr>
          <w:rFonts w:hint="eastAsia"/>
        </w:rPr>
        <w:t>そこで、身体的拘束を行わざるを得ない際の適切なプロセスを提示することを目的に、この指針を作成した。</w:t>
      </w:r>
    </w:p>
    <w:p w14:paraId="0AEB1332" w14:textId="774C1C4F" w:rsidR="00B248AA" w:rsidRPr="00B248AA" w:rsidRDefault="00B248AA" w:rsidP="00B248AA"/>
    <w:p w14:paraId="26EE25D7" w14:textId="30BFE9BE" w:rsidR="00B248AA" w:rsidRPr="00B248AA" w:rsidRDefault="00B248AA" w:rsidP="006F0237">
      <w:pPr>
        <w:pStyle w:val="1"/>
        <w:numPr>
          <w:ilvl w:val="0"/>
          <w:numId w:val="1"/>
        </w:numPr>
      </w:pPr>
      <w:r w:rsidRPr="00B248AA">
        <w:t>身体拘束の定義</w:t>
      </w:r>
    </w:p>
    <w:p w14:paraId="398A130B" w14:textId="77777777" w:rsidR="007B0B74" w:rsidRDefault="007B0B74" w:rsidP="007B0B74">
      <w:pPr>
        <w:pStyle w:val="af0"/>
      </w:pPr>
      <w:r>
        <w:rPr>
          <w:rFonts w:hint="eastAsia"/>
        </w:rPr>
        <w:t>この指針でいう身体的拘束は「抑制帯等、患者の身体又は衣服に触れる何らかの用具を使用して、一時的に当該患者の身体を拘束し、その運動を抑制する行動の制限」と定義する。</w:t>
      </w:r>
    </w:p>
    <w:p w14:paraId="3DE6F6EA" w14:textId="01096783" w:rsidR="00B248AA" w:rsidRPr="00B248AA" w:rsidRDefault="007B0B74" w:rsidP="007B0B74">
      <w:pPr>
        <w:pStyle w:val="af0"/>
      </w:pPr>
      <w:r>
        <w:rPr>
          <w:rFonts w:hint="eastAsia"/>
        </w:rPr>
        <w:t>疾患の治療のためではなく、患者の行動を制限することを目的に向精神薬等を使用する場合もこの指針の対象とし、身体的拘束と同様に取り扱う。治療抵抗性の苦痛を緩和することを目的に鎮静を行うことは本指針の対象外であるが、実施する場合には、原則として、事前に緩和ケアチームにコンサルテーションを行い、倫理的、医学的に適切な方法を選択する。</w:t>
      </w:r>
    </w:p>
    <w:p w14:paraId="0A5D7200" w14:textId="3DEB280B" w:rsidR="00B248AA" w:rsidRPr="00B248AA" w:rsidRDefault="00B248AA" w:rsidP="00B248AA"/>
    <w:p w14:paraId="6B482875" w14:textId="41C7F362" w:rsidR="00B248AA" w:rsidRPr="00B248AA" w:rsidRDefault="00B248AA" w:rsidP="006F0237">
      <w:pPr>
        <w:pStyle w:val="1"/>
        <w:numPr>
          <w:ilvl w:val="0"/>
          <w:numId w:val="1"/>
        </w:numPr>
      </w:pPr>
      <w:r w:rsidRPr="00B248AA">
        <w:t>身体拘束を行うことがやむをえない場合の要件</w:t>
      </w:r>
    </w:p>
    <w:p w14:paraId="4A44F163" w14:textId="77140130" w:rsidR="00B248AA" w:rsidRPr="00B248AA" w:rsidRDefault="002D3064" w:rsidP="00803E54">
      <w:pPr>
        <w:pStyle w:val="af0"/>
      </w:pPr>
      <w:r w:rsidRPr="002D3064">
        <w:rPr>
          <w:rFonts w:hint="eastAsia"/>
        </w:rPr>
        <w:t>当院では身体的拘束を行わないことが原則である。ただし、次の３要件を全て満たす場合に限り、最小限度の期間、適切な方法で身体的拘束を行う。</w:t>
      </w:r>
    </w:p>
    <w:p w14:paraId="0370B2AC" w14:textId="44E1BAAA" w:rsidR="002D3064" w:rsidRDefault="00B248AA" w:rsidP="002D3064">
      <w:pPr>
        <w:ind w:left="708" w:hangingChars="337" w:hanging="708"/>
      </w:pPr>
      <w:r w:rsidRPr="00B248AA">
        <w:rPr>
          <w:rFonts w:hint="eastAsia"/>
        </w:rPr>
        <w:t>（１）</w:t>
      </w:r>
      <w:r w:rsidR="00803E54">
        <w:tab/>
      </w:r>
      <w:r w:rsidR="002D3064">
        <w:t>患者本人又は他の患者</w:t>
      </w:r>
      <w:r w:rsidR="00A435E8">
        <w:rPr>
          <w:rFonts w:hint="eastAsia"/>
        </w:rPr>
        <w:t>等</w:t>
      </w:r>
      <w:r w:rsidR="002D3064">
        <w:t>の生命や身体が危険にさらされる可能性が著しく高いこと（切迫性）</w:t>
      </w:r>
    </w:p>
    <w:p w14:paraId="15832E74" w14:textId="3DA87391" w:rsidR="002D3064" w:rsidRDefault="002D3064" w:rsidP="002D3064">
      <w:pPr>
        <w:ind w:left="708" w:hangingChars="337" w:hanging="708"/>
      </w:pPr>
      <w:r>
        <w:rPr>
          <w:rFonts w:hint="eastAsia"/>
        </w:rPr>
        <w:t>（２）</w:t>
      </w:r>
      <w:r>
        <w:tab/>
        <w:t>身体</w:t>
      </w:r>
      <w:r w:rsidR="00A435E8">
        <w:rPr>
          <w:rFonts w:hint="eastAsia"/>
        </w:rPr>
        <w:t>的</w:t>
      </w:r>
      <w:r>
        <w:t>拘束その他の行動制限を行う以外に代替手段がないこと（非代替性）</w:t>
      </w:r>
    </w:p>
    <w:p w14:paraId="773EF10B" w14:textId="6499D3EE" w:rsidR="00B248AA" w:rsidRDefault="002D3064" w:rsidP="002D3064">
      <w:pPr>
        <w:ind w:left="708" w:hangingChars="337" w:hanging="708"/>
      </w:pPr>
      <w:r>
        <w:rPr>
          <w:rFonts w:hint="eastAsia"/>
        </w:rPr>
        <w:t>（３）</w:t>
      </w:r>
      <w:r>
        <w:tab/>
        <w:t>必要最低限の期間であること（一時性）</w:t>
      </w:r>
    </w:p>
    <w:p w14:paraId="6BD289FD" w14:textId="77777777" w:rsidR="004921F7" w:rsidRPr="00B248AA" w:rsidRDefault="004921F7" w:rsidP="004921F7"/>
    <w:p w14:paraId="29E52CCD" w14:textId="32CE3A25" w:rsidR="00B248AA" w:rsidRPr="00B248AA" w:rsidRDefault="00B248AA" w:rsidP="006F0237">
      <w:pPr>
        <w:pStyle w:val="1"/>
        <w:numPr>
          <w:ilvl w:val="0"/>
          <w:numId w:val="1"/>
        </w:numPr>
      </w:pPr>
      <w:r w:rsidRPr="00B248AA">
        <w:lastRenderedPageBreak/>
        <w:t>身体拘束を行うことがやむをえない場合の判断</w:t>
      </w:r>
    </w:p>
    <w:p w14:paraId="500705FF" w14:textId="77777777" w:rsidR="00EE64B7" w:rsidRDefault="00EE64B7" w:rsidP="00EE64B7">
      <w:pPr>
        <w:pStyle w:val="af0"/>
      </w:pPr>
      <w:r>
        <w:rPr>
          <w:rFonts w:hint="eastAsia"/>
        </w:rPr>
        <w:t>当院では、上記３要件については、医師と看護師を含む多職種で検討し、医師が指示をする。</w:t>
      </w:r>
    </w:p>
    <w:p w14:paraId="58C5AA1C" w14:textId="5C3A1286" w:rsidR="00B248AA" w:rsidRPr="00B248AA" w:rsidRDefault="00EE64B7" w:rsidP="00B67F0B">
      <w:pPr>
        <w:pStyle w:val="af0"/>
      </w:pPr>
      <w:r>
        <w:rPr>
          <w:rFonts w:hint="eastAsia"/>
        </w:rPr>
        <w:t>なお、切迫性のある事態とは、以下のような状況が考えられるが、他の手段を取れば回避できる可能性（代替性）の検討を怠ってはならない。</w:t>
      </w:r>
    </w:p>
    <w:p w14:paraId="64195D46" w14:textId="77777777" w:rsidR="00B67F0B" w:rsidRDefault="00B67F0B" w:rsidP="00B67F0B">
      <w:pPr>
        <w:ind w:left="708" w:hangingChars="337" w:hanging="708"/>
      </w:pPr>
      <w:r>
        <w:rPr>
          <w:rFonts w:hint="eastAsia"/>
        </w:rPr>
        <w:t>（１）</w:t>
      </w:r>
      <w:r>
        <w:tab/>
        <w:t>患者が、適切な説明を行なっても安静度を理解できず、転倒・転落で受傷することが予測される場合</w:t>
      </w:r>
    </w:p>
    <w:p w14:paraId="3C1C3BEB" w14:textId="77777777" w:rsidR="00B67F0B" w:rsidRDefault="00B67F0B" w:rsidP="00B67F0B">
      <w:pPr>
        <w:ind w:left="708" w:hangingChars="337" w:hanging="708"/>
      </w:pPr>
      <w:r>
        <w:rPr>
          <w:rFonts w:hint="eastAsia"/>
        </w:rPr>
        <w:t>（２）</w:t>
      </w:r>
      <w:r>
        <w:tab/>
        <w:t>制止にもかかわらず、他の患者へ危害を与えることが予測される場合</w:t>
      </w:r>
    </w:p>
    <w:p w14:paraId="22337905" w14:textId="77777777" w:rsidR="00B67F0B" w:rsidRDefault="00B67F0B" w:rsidP="00B67F0B">
      <w:pPr>
        <w:ind w:left="708" w:hangingChars="337" w:hanging="708"/>
      </w:pPr>
      <w:r>
        <w:rPr>
          <w:rFonts w:hint="eastAsia"/>
        </w:rPr>
        <w:t>（３）</w:t>
      </w:r>
      <w:r>
        <w:tab/>
        <w:t>点滴等のカテーテル類、気管チューブ、ドレーン等が挿入中で、自己抜去の結果、重篤な健康被害が予測される場合</w:t>
      </w:r>
    </w:p>
    <w:p w14:paraId="20C526FA" w14:textId="2BB675B5" w:rsidR="00B248AA" w:rsidRPr="00B248AA" w:rsidRDefault="00B67F0B" w:rsidP="00B67F0B">
      <w:pPr>
        <w:ind w:left="708" w:hangingChars="337" w:hanging="708"/>
      </w:pPr>
      <w:r>
        <w:rPr>
          <w:rFonts w:hint="eastAsia"/>
        </w:rPr>
        <w:t>（４）</w:t>
      </w:r>
      <w:r>
        <w:tab/>
        <w:t>患者が全身又は局所の安静を保てないために、医学的に不可欠な検査や治療を行えない場合</w:t>
      </w:r>
    </w:p>
    <w:p w14:paraId="501B5CC8" w14:textId="44C34DA1" w:rsidR="00B248AA" w:rsidRPr="00B248AA" w:rsidRDefault="00B248AA" w:rsidP="00B248AA"/>
    <w:p w14:paraId="76B3E4D9" w14:textId="4AC4D5BA" w:rsidR="00B248AA" w:rsidRPr="00B248AA" w:rsidRDefault="00B248AA" w:rsidP="006F0237">
      <w:pPr>
        <w:pStyle w:val="1"/>
        <w:numPr>
          <w:ilvl w:val="0"/>
          <w:numId w:val="1"/>
        </w:numPr>
      </w:pPr>
      <w:r w:rsidRPr="00B248AA">
        <w:t>説明と同意のプロセス</w:t>
      </w:r>
    </w:p>
    <w:p w14:paraId="2B344746" w14:textId="37B7A45E" w:rsidR="00C95ECD" w:rsidRDefault="00B248AA" w:rsidP="00C95ECD">
      <w:pPr>
        <w:ind w:left="708" w:hangingChars="337" w:hanging="708"/>
      </w:pPr>
      <w:r w:rsidRPr="00B248AA">
        <w:rPr>
          <w:rFonts w:hint="eastAsia"/>
        </w:rPr>
        <w:t>（１）</w:t>
      </w:r>
      <w:r w:rsidRPr="00B248AA">
        <w:tab/>
      </w:r>
      <w:r w:rsidR="00C95ECD">
        <w:t>身体的拘束を実施する時は、医師が患者に必要性を説明し、文書で同意を得ることが原則である。手術後のせん妄等、身体的拘束が必要になることが予測される場合においては、患者に事前に説明し、同意を得ておいてもよい。なお、事前の同意があっても、前述した３要件が必須である。</w:t>
      </w:r>
    </w:p>
    <w:p w14:paraId="0F9F02F4" w14:textId="77777777" w:rsidR="00C95ECD" w:rsidRDefault="00C95ECD" w:rsidP="00C95ECD">
      <w:pPr>
        <w:ind w:left="708" w:hangingChars="337" w:hanging="708"/>
      </w:pPr>
      <w:r>
        <w:rPr>
          <w:rFonts w:hint="eastAsia"/>
        </w:rPr>
        <w:t>（２）</w:t>
      </w:r>
      <w:r>
        <w:tab/>
        <w:t>患者の意思決定能力が十分ではない場合には、患者の意思と利益を代弁できる家族等から代諾を得る。</w:t>
      </w:r>
    </w:p>
    <w:p w14:paraId="6240F8CB" w14:textId="77777777" w:rsidR="00C95ECD" w:rsidRDefault="00C95ECD" w:rsidP="00C95ECD">
      <w:pPr>
        <w:ind w:left="708" w:hangingChars="337" w:hanging="708"/>
      </w:pPr>
      <w:r>
        <w:rPr>
          <w:rFonts w:hint="eastAsia"/>
        </w:rPr>
        <w:t>（３）</w:t>
      </w:r>
      <w:r>
        <w:tab/>
        <w:t>患者の同意も家族等の代諾も得られない場合は、身体的拘束をしないことで起こりうる不利益や危険性を患者や家族等に十分に説明した上で、身体的拘束を実施しないこととなったプロセスを診療録と看護記録に記載する。</w:t>
      </w:r>
    </w:p>
    <w:p w14:paraId="71957FC0" w14:textId="2B02D2B0" w:rsidR="00C95ECD" w:rsidRDefault="00C95ECD" w:rsidP="00C95ECD">
      <w:pPr>
        <w:ind w:left="708" w:hangingChars="337" w:hanging="708"/>
      </w:pPr>
      <w:r>
        <w:rPr>
          <w:rFonts w:hint="eastAsia"/>
        </w:rPr>
        <w:t>（４）</w:t>
      </w:r>
      <w:r>
        <w:tab/>
        <w:t>患者の同意と家族等の代諾のいずれも得られなくても、身体的拘束を行わないことによって予測される患者本人や他の患者</w:t>
      </w:r>
      <w:r w:rsidR="00A435E8">
        <w:rPr>
          <w:rFonts w:hint="eastAsia"/>
        </w:rPr>
        <w:t>等</w:t>
      </w:r>
      <w:r>
        <w:t>への危害が重大である場合には、身体的拘束を行うことができる。ただし、その場合には、身体的拘束を行うに至った経緯を診療録と看護記録に詳細に記載する</w:t>
      </w:r>
      <w:r w:rsidR="00A435E8">
        <w:rPr>
          <w:rFonts w:hint="eastAsia"/>
        </w:rPr>
        <w:t>。また、</w:t>
      </w:r>
      <w:r>
        <w:t>身体的拘束を行う前に倫理コンサルテーションを依頼するよう努める</w:t>
      </w:r>
      <w:r w:rsidR="00A435E8">
        <w:rPr>
          <w:rFonts w:hint="eastAsia"/>
        </w:rPr>
        <w:t>とともに</w:t>
      </w:r>
      <w:r>
        <w:t>、事後的であっても可及的速やかに倫理コンサルテーションを依頼し、身体的拘束の継続の可否や行なった身体的拘束の妥当性について検討する。</w:t>
      </w:r>
    </w:p>
    <w:p w14:paraId="0F52DA32" w14:textId="77777777" w:rsidR="00C95ECD" w:rsidRDefault="00C95ECD" w:rsidP="00C95ECD">
      <w:pPr>
        <w:ind w:left="708" w:hangingChars="337" w:hanging="708"/>
      </w:pPr>
      <w:r>
        <w:rPr>
          <w:rFonts w:hint="eastAsia"/>
        </w:rPr>
        <w:t>（５）</w:t>
      </w:r>
      <w:r>
        <w:tab/>
        <w:t>意思決定能力のない患者で、直ちに身体的拘束を行う必要があるにもかかわらず、適時に家族等から代諾を得ることができない場合、身体的拘束を行うことができる。その場合、身体的拘束を行うに至った経緯を診療録と看護記録に詳細に記載するとともに、可及的速やかに家族等に説明し代諾を得る。</w:t>
      </w:r>
    </w:p>
    <w:p w14:paraId="7E56EF96" w14:textId="2B50F014" w:rsidR="00B248AA" w:rsidRDefault="00C95ECD" w:rsidP="00C95ECD">
      <w:pPr>
        <w:ind w:left="708" w:hangingChars="337" w:hanging="708"/>
      </w:pPr>
      <w:r>
        <w:rPr>
          <w:rFonts w:hint="eastAsia"/>
        </w:rPr>
        <w:t>（６）</w:t>
      </w:r>
      <w:r>
        <w:tab/>
        <w:t>意思決定能力のない患者で、患者の意思と利益を代弁できる家族等が存在しない場合は、身体的拘束を行うに至った経緯を診療録と看護記録に詳細に記載する</w:t>
      </w:r>
      <w:r w:rsidR="00777F89">
        <w:rPr>
          <w:rFonts w:hint="eastAsia"/>
        </w:rPr>
        <w:t>。また</w:t>
      </w:r>
      <w:r>
        <w:t>、</w:t>
      </w:r>
      <w:r>
        <w:lastRenderedPageBreak/>
        <w:t>身体的拘束を行う前に倫理コンサルテーションを依頼するよう努める</w:t>
      </w:r>
      <w:r w:rsidR="00777F89">
        <w:rPr>
          <w:rFonts w:hint="eastAsia"/>
        </w:rPr>
        <w:t>とともに</w:t>
      </w:r>
      <w:r>
        <w:t>、事後的であっても可及的速やかに倫理コンサルテーションを依頼し、身体的拘束の継続の可否や行なった身体的拘束の妥当性について検討する。</w:t>
      </w:r>
    </w:p>
    <w:p w14:paraId="24A10268" w14:textId="77777777" w:rsidR="00FE7AB8" w:rsidRPr="00B248AA" w:rsidRDefault="00FE7AB8" w:rsidP="00C95ECD">
      <w:pPr>
        <w:ind w:left="708" w:hangingChars="337" w:hanging="708"/>
      </w:pPr>
    </w:p>
    <w:p w14:paraId="4C3E2E19" w14:textId="60947EE1" w:rsidR="00B248AA" w:rsidRPr="00B248AA" w:rsidRDefault="00E2018E" w:rsidP="006F0237">
      <w:pPr>
        <w:pStyle w:val="1"/>
        <w:numPr>
          <w:ilvl w:val="0"/>
          <w:numId w:val="1"/>
        </w:numPr>
      </w:pPr>
      <w:r>
        <w:rPr>
          <w:rFonts w:ascii="ＭＳ ゴシック" w:hAnsi="ＭＳ ゴシック" w:hint="eastAsia"/>
        </w:rPr>
        <w:t>身体的拘束の方法と</w:t>
      </w:r>
      <w:r w:rsidRPr="00FE6FFB">
        <w:rPr>
          <w:rFonts w:ascii="ＭＳ ゴシック" w:hAnsi="ＭＳ ゴシック" w:hint="eastAsia"/>
        </w:rPr>
        <w:t>身体的</w:t>
      </w:r>
      <w:r w:rsidRPr="00FE6FFB">
        <w:rPr>
          <w:rFonts w:ascii="ＭＳ ゴシック" w:hAnsi="ＭＳ ゴシック"/>
        </w:rPr>
        <w:t>拘束</w:t>
      </w:r>
      <w:r w:rsidRPr="00FE6FFB">
        <w:rPr>
          <w:rFonts w:ascii="ＭＳ ゴシック" w:hAnsi="ＭＳ ゴシック" w:hint="eastAsia"/>
        </w:rPr>
        <w:t>中の評価</w:t>
      </w:r>
    </w:p>
    <w:p w14:paraId="2469C61E" w14:textId="77777777" w:rsidR="00E2018E" w:rsidRDefault="00E2018E" w:rsidP="00E2018E">
      <w:pPr>
        <w:ind w:left="708" w:hangingChars="337" w:hanging="708"/>
      </w:pPr>
      <w:r>
        <w:rPr>
          <w:rFonts w:hint="eastAsia"/>
        </w:rPr>
        <w:t>（１）</w:t>
      </w:r>
      <w:r>
        <w:tab/>
        <w:t>身体的拘束を実施する場合は、身体的拘束による不利益やリスクが最小となる方法を選択しなければならない。</w:t>
      </w:r>
    </w:p>
    <w:p w14:paraId="5FB98904" w14:textId="77777777" w:rsidR="00E2018E" w:rsidRDefault="00E2018E" w:rsidP="00E2018E">
      <w:pPr>
        <w:ind w:left="708" w:hangingChars="337" w:hanging="708"/>
      </w:pPr>
      <w:r>
        <w:rPr>
          <w:rFonts w:hint="eastAsia"/>
        </w:rPr>
        <w:t>（２）</w:t>
      </w:r>
      <w:r>
        <w:tab/>
        <w:t>身体的拘束を行っている期間、担当の看護師は、各勤務帯に少なくとも1回は拘束部位等の異常の有無と身体の安全を損なう行動の可能性を評価し、看護記録に記載しなければならない。</w:t>
      </w:r>
    </w:p>
    <w:p w14:paraId="5CD5E7C2" w14:textId="6ADA9CAD" w:rsidR="00B248AA" w:rsidRDefault="00E2018E" w:rsidP="00E2018E">
      <w:pPr>
        <w:ind w:left="708" w:hangingChars="337" w:hanging="708"/>
      </w:pPr>
      <w:r>
        <w:rPr>
          <w:rFonts w:hint="eastAsia"/>
        </w:rPr>
        <w:t>（３）</w:t>
      </w:r>
      <w:r>
        <w:tab/>
        <w:t>身体的拘束を行っている期間、医師は、原則として毎日診察し、身体的拘束の方法の妥当性や継続の要否について看護師とともに検討し、その結果を診療録に記載しなければならない。</w:t>
      </w:r>
    </w:p>
    <w:p w14:paraId="4765AC59" w14:textId="77777777" w:rsidR="00E2018E" w:rsidRPr="00E2018E" w:rsidRDefault="00E2018E" w:rsidP="00E2018E">
      <w:pPr>
        <w:ind w:left="708" w:hangingChars="337" w:hanging="708"/>
      </w:pPr>
    </w:p>
    <w:p w14:paraId="1E2CC299" w14:textId="62024494" w:rsidR="00B248AA" w:rsidRPr="00B248AA" w:rsidRDefault="00B248AA" w:rsidP="006F0237">
      <w:pPr>
        <w:pStyle w:val="1"/>
        <w:numPr>
          <w:ilvl w:val="0"/>
          <w:numId w:val="1"/>
        </w:numPr>
      </w:pPr>
      <w:r w:rsidRPr="00B248AA">
        <w:t>身体拘束の中止</w:t>
      </w:r>
    </w:p>
    <w:p w14:paraId="3EF6B6D8" w14:textId="68F74C9A" w:rsidR="0043084D" w:rsidRDefault="00B248AA" w:rsidP="0043084D">
      <w:pPr>
        <w:ind w:left="708" w:hangingChars="337" w:hanging="708"/>
      </w:pPr>
      <w:r w:rsidRPr="00B248AA">
        <w:rPr>
          <w:rFonts w:hint="eastAsia"/>
        </w:rPr>
        <w:t>（１）</w:t>
      </w:r>
      <w:r w:rsidRPr="00B248AA">
        <w:tab/>
      </w:r>
      <w:r w:rsidR="0043084D">
        <w:t>身体的拘束が不要になった場合には、速やかに中止しなければならない。</w:t>
      </w:r>
    </w:p>
    <w:p w14:paraId="19D14D52" w14:textId="77777777" w:rsidR="0043084D" w:rsidRDefault="0043084D" w:rsidP="0043084D">
      <w:pPr>
        <w:ind w:left="708" w:hangingChars="337" w:hanging="708"/>
      </w:pPr>
      <w:r>
        <w:rPr>
          <w:rFonts w:hint="eastAsia"/>
        </w:rPr>
        <w:t>（２）</w:t>
      </w:r>
      <w:r>
        <w:tab/>
        <w:t>身体的拘束を継続する必要性があるにも関わらず、意思決定能力を有する患者や家族等から中止を求められた場合には、医師と看護師が協議の上、医師、看護単位責任者等が身体的拘束を中止することの不利益と危険性を患者・家族等に十分に説明した上で、身体的拘束を中止するのが原則である。</w:t>
      </w:r>
    </w:p>
    <w:p w14:paraId="555F66F7" w14:textId="0D8FF5E5" w:rsidR="00B248AA" w:rsidRDefault="0043084D" w:rsidP="0043084D">
      <w:pPr>
        <w:ind w:left="708" w:hangingChars="337" w:hanging="708"/>
      </w:pPr>
      <w:r>
        <w:rPr>
          <w:rFonts w:hint="eastAsia"/>
        </w:rPr>
        <w:t>（３）</w:t>
      </w:r>
      <w:r>
        <w:tab/>
        <w:t>（２）の状況において、身体的拘束の中止が、患者本人や他の患者に重大な危害をもたらす可能性が高い場合には、身体的拘束を中止する前に倫理コンサルテーションを依頼する。</w:t>
      </w:r>
    </w:p>
    <w:p w14:paraId="7E6A6D27" w14:textId="77777777" w:rsidR="0043084D" w:rsidRDefault="0043084D" w:rsidP="0043084D">
      <w:pPr>
        <w:ind w:left="708" w:hangingChars="337" w:hanging="708"/>
      </w:pPr>
    </w:p>
    <w:p w14:paraId="31A6FD0F" w14:textId="5087977B" w:rsidR="003A1462" w:rsidRPr="003A1462" w:rsidRDefault="003A1462" w:rsidP="003A1462">
      <w:pPr>
        <w:pStyle w:val="1"/>
        <w:numPr>
          <w:ilvl w:val="0"/>
          <w:numId w:val="1"/>
        </w:numPr>
      </w:pPr>
      <w:r w:rsidRPr="003A1462">
        <w:t>身体的拘束最小化への取り組み</w:t>
      </w:r>
    </w:p>
    <w:p w14:paraId="6E46EEF4" w14:textId="77777777" w:rsidR="003A1462" w:rsidRDefault="003A1462" w:rsidP="003A1462">
      <w:pPr>
        <w:ind w:left="708" w:hangingChars="337" w:hanging="708"/>
      </w:pPr>
      <w:r>
        <w:rPr>
          <w:rFonts w:hint="eastAsia"/>
        </w:rPr>
        <w:t>（１）</w:t>
      </w:r>
      <w:r>
        <w:tab/>
        <w:t>看護単位責任者は、当該看護単位で身体的拘束を受けている患者の概要と身体的拘束の態様を日報で看護部に報告する。</w:t>
      </w:r>
    </w:p>
    <w:p w14:paraId="324A03EC" w14:textId="77777777" w:rsidR="003A1462" w:rsidRDefault="003A1462" w:rsidP="003A1462">
      <w:pPr>
        <w:ind w:left="708" w:hangingChars="337" w:hanging="708"/>
      </w:pPr>
      <w:r>
        <w:rPr>
          <w:rFonts w:hint="eastAsia"/>
        </w:rPr>
        <w:t>（２）</w:t>
      </w:r>
      <w:r>
        <w:tab/>
        <w:t>看護部は、日報を取りまとめ、前月の身体的拘束の状況を身体的拘束最小化対策委員会に報告する。</w:t>
      </w:r>
    </w:p>
    <w:p w14:paraId="5C85432F" w14:textId="77777777" w:rsidR="003A1462" w:rsidRDefault="003A1462" w:rsidP="003A1462">
      <w:pPr>
        <w:ind w:left="708" w:hangingChars="337" w:hanging="708"/>
      </w:pPr>
      <w:r>
        <w:rPr>
          <w:rFonts w:hint="eastAsia"/>
        </w:rPr>
        <w:t>（３）</w:t>
      </w:r>
      <w:r>
        <w:tab/>
        <w:t>身体的拘束最小化対策委員会は、当院における身体的拘束の実施状況を少なくとも月に1回検討し、病院長に対して身体的拘束の最小化のために必要な助言を行う。</w:t>
      </w:r>
    </w:p>
    <w:p w14:paraId="7519701D" w14:textId="7F6F42BA" w:rsidR="003A5308" w:rsidRPr="003A1462" w:rsidRDefault="003A1462" w:rsidP="003A1462">
      <w:pPr>
        <w:ind w:left="708" w:hangingChars="337" w:hanging="708"/>
      </w:pPr>
      <w:r>
        <w:rPr>
          <w:rFonts w:hint="eastAsia"/>
        </w:rPr>
        <w:t>（４）</w:t>
      </w:r>
      <w:r>
        <w:tab/>
        <w:t>身体的拘束最小化対策委員会は、少なくとも年に1回、職員に対して身体的拘束の最小化のための研修を実施する。</w:t>
      </w:r>
    </w:p>
    <w:p w14:paraId="486C17A8" w14:textId="77777777" w:rsidR="003A5308" w:rsidRDefault="003A5308" w:rsidP="0043084D">
      <w:pPr>
        <w:ind w:left="708" w:hangingChars="337" w:hanging="708"/>
      </w:pPr>
    </w:p>
    <w:p w14:paraId="3A087125" w14:textId="4036FAB6" w:rsidR="00BC5F3E" w:rsidRDefault="00BC5F3E" w:rsidP="00BC5F3E">
      <w:pPr>
        <w:pStyle w:val="1"/>
        <w:numPr>
          <w:ilvl w:val="0"/>
          <w:numId w:val="1"/>
        </w:numPr>
      </w:pPr>
      <w:r>
        <w:t>身体的拘束以外の行動制限についての考え方</w:t>
      </w:r>
    </w:p>
    <w:p w14:paraId="70E97A38" w14:textId="175232D2" w:rsidR="00BC5F3E" w:rsidRDefault="00BC5F3E" w:rsidP="00BC5F3E">
      <w:pPr>
        <w:ind w:left="708" w:hangingChars="337" w:hanging="708"/>
      </w:pPr>
      <w:r>
        <w:rPr>
          <w:rFonts w:hint="eastAsia"/>
        </w:rPr>
        <w:t>（１）</w:t>
      </w:r>
      <w:r>
        <w:tab/>
        <w:t>離床センサーや監視カメラ等を使用する場合は、患者の同意あるいは家族等からの</w:t>
      </w:r>
      <w:r>
        <w:lastRenderedPageBreak/>
        <w:t>代諾を受けることを原則とする。患者の同意も家族等からの代諾も得られない場合には、医師と看護師で必要性を協議し、方針を決定する。必要に応じて倫理コンサルテーション</w:t>
      </w:r>
      <w:r w:rsidR="007C4EE2">
        <w:rPr>
          <w:rFonts w:hint="eastAsia"/>
        </w:rPr>
        <w:t>を</w:t>
      </w:r>
      <w:r>
        <w:t>依頼する。</w:t>
      </w:r>
    </w:p>
    <w:p w14:paraId="76315255" w14:textId="4802B81F" w:rsidR="00623D45" w:rsidRPr="00BC5F3E" w:rsidRDefault="00BC5F3E" w:rsidP="00BC5F3E">
      <w:pPr>
        <w:ind w:left="708" w:hangingChars="337" w:hanging="708"/>
      </w:pPr>
      <w:r>
        <w:rPr>
          <w:rFonts w:hint="eastAsia"/>
        </w:rPr>
        <w:t>（２）</w:t>
      </w:r>
      <w:r>
        <w:tab/>
        <w:t>高圧的な言葉によって患者の行動を制限することは行なってはならない。</w:t>
      </w:r>
    </w:p>
    <w:p w14:paraId="2A6D3A5C" w14:textId="77777777" w:rsidR="00623D45" w:rsidRPr="00B248AA" w:rsidRDefault="00623D45" w:rsidP="0043084D">
      <w:pPr>
        <w:ind w:left="708" w:hangingChars="337" w:hanging="708"/>
      </w:pPr>
    </w:p>
    <w:p w14:paraId="469F8175" w14:textId="59952536" w:rsidR="00B248AA" w:rsidRPr="00B248AA" w:rsidRDefault="00B248AA" w:rsidP="006F0237">
      <w:pPr>
        <w:pStyle w:val="1"/>
        <w:numPr>
          <w:ilvl w:val="0"/>
          <w:numId w:val="1"/>
        </w:numPr>
      </w:pPr>
      <w:r w:rsidRPr="00B248AA">
        <w:t>院内暴力への対応</w:t>
      </w:r>
    </w:p>
    <w:p w14:paraId="74936294" w14:textId="4A83D331" w:rsidR="00B248AA" w:rsidRPr="00B248AA" w:rsidRDefault="00AD63F2" w:rsidP="00522D9E">
      <w:pPr>
        <w:pStyle w:val="af0"/>
      </w:pPr>
      <w:r w:rsidRPr="00AD63F2">
        <w:rPr>
          <w:rFonts w:hint="eastAsia"/>
        </w:rPr>
        <w:t>明らかな暴力行為で、他の患者や職員に危害が及ぶ恐れがある場合には、直ちに警備室担当者（</w:t>
      </w:r>
      <w:r w:rsidRPr="00AD63F2">
        <w:t>PHS 〇〇〇〇）に応援要請をするとともに、ためらわずに警察へ通報する。</w:t>
      </w:r>
    </w:p>
    <w:p w14:paraId="3AD1B43F" w14:textId="19FCA609" w:rsidR="00B248AA" w:rsidRPr="00B248AA" w:rsidRDefault="00B248AA" w:rsidP="00B248AA"/>
    <w:p w14:paraId="5B15AA25" w14:textId="426FEBDD" w:rsidR="00B248AA" w:rsidRPr="00B248AA" w:rsidRDefault="0035614B" w:rsidP="006F0237">
      <w:pPr>
        <w:pStyle w:val="1"/>
        <w:numPr>
          <w:ilvl w:val="0"/>
          <w:numId w:val="1"/>
        </w:numPr>
      </w:pPr>
      <w:r>
        <w:rPr>
          <w:rFonts w:hint="eastAsia"/>
        </w:rPr>
        <w:t>この指針の見直し</w:t>
      </w:r>
    </w:p>
    <w:p w14:paraId="3CD4904E" w14:textId="1573482A" w:rsidR="00C02FF0" w:rsidRPr="00B248AA" w:rsidRDefault="0035614B" w:rsidP="00B1200E">
      <w:pPr>
        <w:pStyle w:val="af0"/>
      </w:pPr>
      <w:r w:rsidRPr="0035614B">
        <w:rPr>
          <w:rFonts w:hint="eastAsia"/>
        </w:rPr>
        <w:t>この指針は少なくとも</w:t>
      </w:r>
      <w:r w:rsidRPr="0035614B">
        <w:t>1年に1回、身体的拘束最小化対策委員会において修正の要否を検討する。改廃が必要な場合は、身体的拘束最小化対策委員会が起案し、病院臨床倫理委員会の議を経て、病院経営会議で決定する。</w:t>
      </w:r>
    </w:p>
    <w:sectPr w:rsidR="00C02FF0" w:rsidRPr="00B248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167D0" w14:textId="77777777" w:rsidR="00B9117A" w:rsidRDefault="00B9117A" w:rsidP="0058133F">
      <w:r>
        <w:separator/>
      </w:r>
    </w:p>
  </w:endnote>
  <w:endnote w:type="continuationSeparator" w:id="0">
    <w:p w14:paraId="0879D0E8" w14:textId="77777777" w:rsidR="00B9117A" w:rsidRDefault="00B9117A" w:rsidP="0058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C1661" w14:textId="77777777" w:rsidR="00B9117A" w:rsidRDefault="00B9117A" w:rsidP="0058133F">
      <w:r>
        <w:separator/>
      </w:r>
    </w:p>
  </w:footnote>
  <w:footnote w:type="continuationSeparator" w:id="0">
    <w:p w14:paraId="4B457268" w14:textId="77777777" w:rsidR="00B9117A" w:rsidRDefault="00B9117A" w:rsidP="0058133F">
      <w:r>
        <w:continuationSeparator/>
      </w:r>
    </w:p>
  </w:footnote>
  <w:footnote w:id="1">
    <w:p w14:paraId="3B3B77E8" w14:textId="71C05819" w:rsidR="00A435E8" w:rsidRDefault="00A435E8" w:rsidP="00A435E8">
      <w:pPr>
        <w:pStyle w:val="af6"/>
      </w:pPr>
      <w:r>
        <w:rPr>
          <w:rStyle w:val="af8"/>
        </w:rPr>
        <w:footnoteRef/>
      </w:r>
      <w:r>
        <w:t xml:space="preserve"> </w:t>
      </w:r>
      <w:r>
        <w:rPr>
          <w:rFonts w:hint="eastAsia"/>
        </w:rPr>
        <w:t>本書の他の箇所では「身体拘束」という表現を用いていますが，ここでは，令和６年度診療報酬改定において「身体的拘束を最小化する取組の強化（入院料通則の改定③）」が示されたことを踏まえ，「身体的拘束」という表現とその定義を使用します．厚生労働省保険局医療課「令和</w:t>
      </w:r>
      <w:r>
        <w:t>6 年度診療報酬</w:t>
      </w:r>
      <w:r>
        <w:rPr>
          <w:rFonts w:hint="eastAsia"/>
        </w:rPr>
        <w:t>改定の概要（医科全体版）」令和</w:t>
      </w:r>
      <w:r>
        <w:t>6 年3 月5 日版．p.35.</w:t>
      </w:r>
    </w:p>
    <w:p w14:paraId="5D6AA278" w14:textId="3CBACC7F" w:rsidR="00A435E8" w:rsidRPr="00A435E8" w:rsidRDefault="00000000" w:rsidP="00A435E8">
      <w:pPr>
        <w:pStyle w:val="af6"/>
      </w:pPr>
      <w:hyperlink r:id="rId1" w:history="1">
        <w:r w:rsidR="00A435E8" w:rsidRPr="00CE41AF">
          <w:rPr>
            <w:rStyle w:val="af9"/>
          </w:rPr>
          <w:t>https://www.mhlw.go.jp/content/12400000/001252076.pdf</w:t>
        </w:r>
      </w:hyperlink>
      <w:r w:rsidR="00A435E8">
        <w:rPr>
          <w:rFonts w:hint="eastAsi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EABD1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BA6DFD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67C978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6B6386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2E2E7D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0D6CE3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5741F0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510B30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9A0400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2D2FED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A001376"/>
    <w:multiLevelType w:val="hybridMultilevel"/>
    <w:tmpl w:val="B3601C22"/>
    <w:lvl w:ilvl="0" w:tplc="458C809E">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873905">
    <w:abstractNumId w:val="10"/>
  </w:num>
  <w:num w:numId="2" w16cid:durableId="477722363">
    <w:abstractNumId w:val="0"/>
  </w:num>
  <w:num w:numId="3" w16cid:durableId="369572688">
    <w:abstractNumId w:val="1"/>
  </w:num>
  <w:num w:numId="4" w16cid:durableId="1496645689">
    <w:abstractNumId w:val="2"/>
  </w:num>
  <w:num w:numId="5" w16cid:durableId="676351049">
    <w:abstractNumId w:val="3"/>
  </w:num>
  <w:num w:numId="6" w16cid:durableId="519196868">
    <w:abstractNumId w:val="8"/>
  </w:num>
  <w:num w:numId="7" w16cid:durableId="1556891609">
    <w:abstractNumId w:val="4"/>
  </w:num>
  <w:num w:numId="8" w16cid:durableId="103185853">
    <w:abstractNumId w:val="5"/>
  </w:num>
  <w:num w:numId="9" w16cid:durableId="571740449">
    <w:abstractNumId w:val="6"/>
  </w:num>
  <w:num w:numId="10" w16cid:durableId="817384403">
    <w:abstractNumId w:val="7"/>
  </w:num>
  <w:num w:numId="11" w16cid:durableId="10341167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bordersDoNotSurroundHeader/>
  <w:bordersDoNotSurroundFooter/>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8C2"/>
    <w:rsid w:val="00125B2B"/>
    <w:rsid w:val="00150A3D"/>
    <w:rsid w:val="002D3064"/>
    <w:rsid w:val="0035614B"/>
    <w:rsid w:val="003A1462"/>
    <w:rsid w:val="003A5308"/>
    <w:rsid w:val="0043084D"/>
    <w:rsid w:val="004609D9"/>
    <w:rsid w:val="0048493E"/>
    <w:rsid w:val="004921F7"/>
    <w:rsid w:val="004C5BD8"/>
    <w:rsid w:val="00514295"/>
    <w:rsid w:val="005222D6"/>
    <w:rsid w:val="00522D9E"/>
    <w:rsid w:val="005578C4"/>
    <w:rsid w:val="0058133F"/>
    <w:rsid w:val="005C3CC4"/>
    <w:rsid w:val="00617079"/>
    <w:rsid w:val="00623D45"/>
    <w:rsid w:val="006E6CC5"/>
    <w:rsid w:val="006F0237"/>
    <w:rsid w:val="0074498C"/>
    <w:rsid w:val="00777F89"/>
    <w:rsid w:val="00794750"/>
    <w:rsid w:val="007B0B74"/>
    <w:rsid w:val="007C4EE2"/>
    <w:rsid w:val="00803E54"/>
    <w:rsid w:val="00843642"/>
    <w:rsid w:val="008C309F"/>
    <w:rsid w:val="008C39FF"/>
    <w:rsid w:val="00921700"/>
    <w:rsid w:val="00A435E8"/>
    <w:rsid w:val="00AC0AAB"/>
    <w:rsid w:val="00AD63F2"/>
    <w:rsid w:val="00B1200E"/>
    <w:rsid w:val="00B248AA"/>
    <w:rsid w:val="00B508C2"/>
    <w:rsid w:val="00B53BA4"/>
    <w:rsid w:val="00B62A2C"/>
    <w:rsid w:val="00B67F0B"/>
    <w:rsid w:val="00B9117A"/>
    <w:rsid w:val="00BC5F3E"/>
    <w:rsid w:val="00C02FF0"/>
    <w:rsid w:val="00C95ECD"/>
    <w:rsid w:val="00CC2B28"/>
    <w:rsid w:val="00D01537"/>
    <w:rsid w:val="00D27A4C"/>
    <w:rsid w:val="00DA73B2"/>
    <w:rsid w:val="00DB4940"/>
    <w:rsid w:val="00DC052A"/>
    <w:rsid w:val="00E2018E"/>
    <w:rsid w:val="00E23017"/>
    <w:rsid w:val="00E70B2D"/>
    <w:rsid w:val="00EE64B7"/>
    <w:rsid w:val="00F41E14"/>
    <w:rsid w:val="00FA5D15"/>
    <w:rsid w:val="00FE7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4305238"/>
  <w15:docId w15:val="{4BB17D0E-5B5A-3D42-9234-39EA25B8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248AA"/>
    <w:pPr>
      <w:keepNext/>
      <w:outlineLvl w:val="0"/>
    </w:pPr>
    <w:rPr>
      <w:rFonts w:asciiTheme="majorHAnsi" w:eastAsia="ＭＳ ゴシック"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0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
    <w:rsid w:val="00C02FF0"/>
    <w:pPr>
      <w:widowControl w:val="0"/>
      <w:wordWrap w:val="0"/>
      <w:autoSpaceDE w:val="0"/>
      <w:autoSpaceDN w:val="0"/>
      <w:adjustRightInd w:val="0"/>
      <w:spacing w:line="334" w:lineRule="atLeast"/>
      <w:jc w:val="both"/>
    </w:pPr>
    <w:rPr>
      <w:rFonts w:ascii="Times New Roman" w:eastAsia="ＭＳ 明朝" w:hAnsi="Times New Roman" w:cs="Times New Roman"/>
      <w:noProof/>
      <w:spacing w:val="-1"/>
      <w:kern w:val="0"/>
      <w:szCs w:val="20"/>
    </w:rPr>
  </w:style>
  <w:style w:type="character" w:styleId="a5">
    <w:name w:val="annotation reference"/>
    <w:uiPriority w:val="99"/>
    <w:semiHidden/>
    <w:unhideWhenUsed/>
    <w:rsid w:val="00C02FF0"/>
    <w:rPr>
      <w:sz w:val="18"/>
      <w:szCs w:val="18"/>
    </w:rPr>
  </w:style>
  <w:style w:type="paragraph" w:styleId="a6">
    <w:name w:val="annotation text"/>
    <w:basedOn w:val="a"/>
    <w:link w:val="a7"/>
    <w:uiPriority w:val="99"/>
    <w:semiHidden/>
    <w:unhideWhenUsed/>
    <w:rsid w:val="00C02FF0"/>
    <w:pPr>
      <w:jc w:val="left"/>
    </w:pPr>
    <w:rPr>
      <w:rFonts w:ascii="Times" w:eastAsia="ＭＳ 明朝" w:hAnsi="Times" w:cs="Times New Roman"/>
      <w:noProof/>
      <w:sz w:val="24"/>
      <w:szCs w:val="20"/>
    </w:rPr>
  </w:style>
  <w:style w:type="character" w:customStyle="1" w:styleId="a7">
    <w:name w:val="コメント文字列 (文字)"/>
    <w:basedOn w:val="a0"/>
    <w:link w:val="a6"/>
    <w:uiPriority w:val="99"/>
    <w:semiHidden/>
    <w:rsid w:val="00C02FF0"/>
    <w:rPr>
      <w:rFonts w:ascii="Times" w:eastAsia="ＭＳ 明朝" w:hAnsi="Times" w:cs="Times New Roman"/>
      <w:noProof/>
      <w:sz w:val="24"/>
      <w:szCs w:val="20"/>
    </w:rPr>
  </w:style>
  <w:style w:type="paragraph" w:styleId="a8">
    <w:name w:val="Balloon Text"/>
    <w:basedOn w:val="a"/>
    <w:link w:val="a9"/>
    <w:uiPriority w:val="99"/>
    <w:semiHidden/>
    <w:unhideWhenUsed/>
    <w:rsid w:val="00C02F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2FF0"/>
    <w:rPr>
      <w:rFonts w:asciiTheme="majorHAnsi" w:eastAsiaTheme="majorEastAsia" w:hAnsiTheme="majorHAnsi" w:cstheme="majorBidi"/>
      <w:sz w:val="18"/>
      <w:szCs w:val="18"/>
    </w:rPr>
  </w:style>
  <w:style w:type="paragraph" w:styleId="aa">
    <w:name w:val="annotation subject"/>
    <w:basedOn w:val="a6"/>
    <w:next w:val="a6"/>
    <w:link w:val="ab"/>
    <w:uiPriority w:val="99"/>
    <w:semiHidden/>
    <w:unhideWhenUsed/>
    <w:rsid w:val="00843642"/>
    <w:rPr>
      <w:rFonts w:asciiTheme="minorHAnsi" w:eastAsiaTheme="minorEastAsia" w:hAnsiTheme="minorHAnsi" w:cstheme="minorBidi"/>
      <w:b/>
      <w:bCs/>
      <w:noProof w:val="0"/>
      <w:sz w:val="21"/>
      <w:szCs w:val="22"/>
    </w:rPr>
  </w:style>
  <w:style w:type="character" w:customStyle="1" w:styleId="ab">
    <w:name w:val="コメント内容 (文字)"/>
    <w:basedOn w:val="a7"/>
    <w:link w:val="aa"/>
    <w:uiPriority w:val="99"/>
    <w:semiHidden/>
    <w:rsid w:val="00843642"/>
    <w:rPr>
      <w:rFonts w:ascii="Times" w:eastAsia="ＭＳ 明朝" w:hAnsi="Times" w:cs="Times New Roman"/>
      <w:b/>
      <w:bCs/>
      <w:noProof/>
      <w:sz w:val="24"/>
      <w:szCs w:val="20"/>
    </w:rPr>
  </w:style>
  <w:style w:type="paragraph" w:styleId="ac">
    <w:name w:val="Title"/>
    <w:basedOn w:val="a"/>
    <w:next w:val="a"/>
    <w:link w:val="ad"/>
    <w:uiPriority w:val="10"/>
    <w:qFormat/>
    <w:rsid w:val="00B248AA"/>
    <w:pPr>
      <w:spacing w:before="240" w:after="120"/>
      <w:jc w:val="center"/>
      <w:outlineLvl w:val="0"/>
    </w:pPr>
    <w:rPr>
      <w:rFonts w:asciiTheme="majorHAnsi" w:eastAsia="ＭＳ ゴシック" w:hAnsiTheme="majorHAnsi" w:cstheme="majorBidi"/>
      <w:sz w:val="32"/>
      <w:szCs w:val="32"/>
    </w:rPr>
  </w:style>
  <w:style w:type="character" w:customStyle="1" w:styleId="ad">
    <w:name w:val="表題 (文字)"/>
    <w:basedOn w:val="a0"/>
    <w:link w:val="ac"/>
    <w:uiPriority w:val="10"/>
    <w:rsid w:val="00B248AA"/>
    <w:rPr>
      <w:rFonts w:asciiTheme="majorHAnsi" w:eastAsia="ＭＳ ゴシック" w:hAnsiTheme="majorHAnsi" w:cstheme="majorBidi"/>
      <w:sz w:val="32"/>
      <w:szCs w:val="32"/>
    </w:rPr>
  </w:style>
  <w:style w:type="character" w:customStyle="1" w:styleId="10">
    <w:name w:val="見出し 1 (文字)"/>
    <w:basedOn w:val="a0"/>
    <w:link w:val="1"/>
    <w:uiPriority w:val="9"/>
    <w:rsid w:val="00B248AA"/>
    <w:rPr>
      <w:rFonts w:asciiTheme="majorHAnsi" w:eastAsia="ＭＳ ゴシック" w:hAnsiTheme="majorHAnsi" w:cstheme="majorBidi"/>
      <w:sz w:val="24"/>
      <w:szCs w:val="24"/>
    </w:rPr>
  </w:style>
  <w:style w:type="paragraph" w:styleId="ae">
    <w:name w:val="Body Text"/>
    <w:basedOn w:val="a"/>
    <w:link w:val="af"/>
    <w:uiPriority w:val="99"/>
    <w:semiHidden/>
    <w:unhideWhenUsed/>
    <w:rsid w:val="00B248AA"/>
  </w:style>
  <w:style w:type="character" w:customStyle="1" w:styleId="af">
    <w:name w:val="本文 (文字)"/>
    <w:basedOn w:val="a0"/>
    <w:link w:val="ae"/>
    <w:uiPriority w:val="99"/>
    <w:semiHidden/>
    <w:rsid w:val="00B248AA"/>
  </w:style>
  <w:style w:type="paragraph" w:styleId="af0">
    <w:name w:val="Body Text First Indent"/>
    <w:basedOn w:val="ae"/>
    <w:link w:val="af1"/>
    <w:uiPriority w:val="99"/>
    <w:unhideWhenUsed/>
    <w:rsid w:val="00B248AA"/>
    <w:pPr>
      <w:ind w:firstLineChars="100" w:firstLine="210"/>
    </w:pPr>
  </w:style>
  <w:style w:type="character" w:customStyle="1" w:styleId="af1">
    <w:name w:val="本文字下げ (文字)"/>
    <w:basedOn w:val="af"/>
    <w:link w:val="af0"/>
    <w:uiPriority w:val="99"/>
    <w:rsid w:val="00B248AA"/>
  </w:style>
  <w:style w:type="paragraph" w:styleId="af2">
    <w:name w:val="header"/>
    <w:basedOn w:val="a"/>
    <w:link w:val="af3"/>
    <w:uiPriority w:val="99"/>
    <w:unhideWhenUsed/>
    <w:rsid w:val="0058133F"/>
    <w:pPr>
      <w:tabs>
        <w:tab w:val="center" w:pos="4252"/>
        <w:tab w:val="right" w:pos="8504"/>
      </w:tabs>
      <w:snapToGrid w:val="0"/>
    </w:pPr>
  </w:style>
  <w:style w:type="character" w:customStyle="1" w:styleId="af3">
    <w:name w:val="ヘッダー (文字)"/>
    <w:basedOn w:val="a0"/>
    <w:link w:val="af2"/>
    <w:uiPriority w:val="99"/>
    <w:rsid w:val="0058133F"/>
  </w:style>
  <w:style w:type="paragraph" w:styleId="af4">
    <w:name w:val="footer"/>
    <w:basedOn w:val="a"/>
    <w:link w:val="af5"/>
    <w:uiPriority w:val="99"/>
    <w:unhideWhenUsed/>
    <w:rsid w:val="0058133F"/>
    <w:pPr>
      <w:tabs>
        <w:tab w:val="center" w:pos="4252"/>
        <w:tab w:val="right" w:pos="8504"/>
      </w:tabs>
      <w:snapToGrid w:val="0"/>
    </w:pPr>
  </w:style>
  <w:style w:type="character" w:customStyle="1" w:styleId="af5">
    <w:name w:val="フッター (文字)"/>
    <w:basedOn w:val="a0"/>
    <w:link w:val="af4"/>
    <w:uiPriority w:val="99"/>
    <w:rsid w:val="0058133F"/>
  </w:style>
  <w:style w:type="paragraph" w:styleId="af6">
    <w:name w:val="footnote text"/>
    <w:basedOn w:val="a"/>
    <w:link w:val="af7"/>
    <w:uiPriority w:val="99"/>
    <w:semiHidden/>
    <w:unhideWhenUsed/>
    <w:rsid w:val="00A435E8"/>
    <w:pPr>
      <w:snapToGrid w:val="0"/>
      <w:jc w:val="left"/>
    </w:pPr>
  </w:style>
  <w:style w:type="character" w:customStyle="1" w:styleId="af7">
    <w:name w:val="脚注文字列 (文字)"/>
    <w:basedOn w:val="a0"/>
    <w:link w:val="af6"/>
    <w:uiPriority w:val="99"/>
    <w:semiHidden/>
    <w:rsid w:val="00A435E8"/>
  </w:style>
  <w:style w:type="character" w:styleId="af8">
    <w:name w:val="footnote reference"/>
    <w:basedOn w:val="a0"/>
    <w:uiPriority w:val="99"/>
    <w:semiHidden/>
    <w:unhideWhenUsed/>
    <w:rsid w:val="00A435E8"/>
    <w:rPr>
      <w:vertAlign w:val="superscript"/>
    </w:rPr>
  </w:style>
  <w:style w:type="character" w:styleId="af9">
    <w:name w:val="Hyperlink"/>
    <w:basedOn w:val="a0"/>
    <w:uiPriority w:val="99"/>
    <w:unhideWhenUsed/>
    <w:rsid w:val="00A435E8"/>
    <w:rPr>
      <w:color w:val="0563C1" w:themeColor="hyperlink"/>
      <w:u w:val="single"/>
    </w:rPr>
  </w:style>
  <w:style w:type="character" w:styleId="afa">
    <w:name w:val="Unresolved Mention"/>
    <w:basedOn w:val="a0"/>
    <w:uiPriority w:val="99"/>
    <w:semiHidden/>
    <w:unhideWhenUsed/>
    <w:rsid w:val="00A43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hlw.go.jp/content/12400000/001252076.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9525"/>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09D6D-96B9-40C4-B328-8017BDEF0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453</Words>
  <Characters>2586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DOHZONO Toshihiko</dc:creator>
  <cp:keywords/>
  <dc:description/>
  <cp:lastModifiedBy>Toshihiko DOHZONO</cp:lastModifiedBy>
  <cp:revision>52</cp:revision>
  <dcterms:created xsi:type="dcterms:W3CDTF">2019-01-16T08:58:00Z</dcterms:created>
  <dcterms:modified xsi:type="dcterms:W3CDTF">2024-08-03T04:41:00Z</dcterms:modified>
</cp:coreProperties>
</file>